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F40F" w14:textId="50DA949A" w:rsidR="00FB469E" w:rsidRDefault="00FB469E" w:rsidP="00FB469E">
      <w:pPr>
        <w:jc w:val="center"/>
        <w:rPr>
          <w:rFonts w:ascii="Helvetica" w:hAnsi="Helvetica"/>
          <w:b/>
          <w:sz w:val="36"/>
          <w:lang w:val="es-ES_tradnl"/>
        </w:rPr>
      </w:pPr>
      <w:r w:rsidRPr="00FB469E">
        <w:rPr>
          <w:rFonts w:ascii="Helvetica" w:hAnsi="Helvetica"/>
          <w:b/>
          <w:sz w:val="36"/>
          <w:lang w:val="es-ES_tradnl"/>
        </w:rPr>
        <w:t>Zona Temporalmente Libre de Registro.</w:t>
      </w:r>
    </w:p>
    <w:p w14:paraId="69EC4504" w14:textId="70B7A8FB" w:rsidR="008B197E" w:rsidRPr="007E291B" w:rsidRDefault="00FB469E" w:rsidP="00FB469E">
      <w:pPr>
        <w:jc w:val="center"/>
        <w:rPr>
          <w:lang w:val="es-ES_tradnl"/>
        </w:rPr>
        <w:sectPr w:rsidR="008B197E" w:rsidRPr="007E291B">
          <w:footerReference w:type="even" r:id="rId8"/>
          <w:pgSz w:w="12240" w:h="15840" w:code="1"/>
          <w:pgMar w:top="1440" w:right="1080" w:bottom="1440" w:left="1080" w:header="720" w:footer="720" w:gutter="0"/>
          <w:cols w:space="720"/>
        </w:sectPr>
      </w:pPr>
      <w:r w:rsidRPr="00FB469E">
        <w:rPr>
          <w:rFonts w:ascii="Helvetica" w:hAnsi="Helvetica"/>
          <w:b/>
          <w:sz w:val="36"/>
          <w:lang w:val="es-ES_tradnl"/>
        </w:rPr>
        <w:t>Estrategias de invisibilidad y ocultación.</w:t>
      </w:r>
    </w:p>
    <w:p w14:paraId="2820A8EF" w14:textId="658C6A83" w:rsidR="008B197E" w:rsidRPr="007E291B" w:rsidRDefault="008B197E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lastRenderedPageBreak/>
        <w:br w:type="column"/>
      </w:r>
      <w:r w:rsidR="00FB469E">
        <w:rPr>
          <w:spacing w:val="-2"/>
          <w:lang w:val="es-ES_tradnl"/>
        </w:rPr>
        <w:lastRenderedPageBreak/>
        <w:t>Raúl León</w:t>
      </w:r>
    </w:p>
    <w:p w14:paraId="60C09C37" w14:textId="3FBD9918" w:rsidR="00E82574" w:rsidRPr="007E291B" w:rsidRDefault="00FB469E" w:rsidP="00FB469E">
      <w:pPr>
        <w:pStyle w:val="Affiliations"/>
        <w:rPr>
          <w:spacing w:val="-2"/>
          <w:lang w:val="es-ES_tradnl"/>
        </w:rPr>
      </w:pPr>
      <w:r w:rsidRPr="00FB469E">
        <w:rPr>
          <w:i/>
          <w:spacing w:val="-2"/>
          <w:lang w:val="es-ES_tradnl"/>
        </w:rPr>
        <w:t>Master Artes Visuales y Multimedia</w:t>
      </w:r>
      <w:r w:rsidR="008B197E" w:rsidRPr="007E291B">
        <w:rPr>
          <w:spacing w:val="-2"/>
          <w:lang w:val="es-ES_tradnl"/>
        </w:rPr>
        <w:br/>
      </w:r>
      <w:r>
        <w:rPr>
          <w:spacing w:val="-2"/>
          <w:lang w:val="es-ES_tradnl"/>
        </w:rPr>
        <w:t>Universidad Politécnica de Valencia</w:t>
      </w:r>
    </w:p>
    <w:p w14:paraId="5835E05E" w14:textId="77777777" w:rsidR="00E82574" w:rsidRPr="007E291B" w:rsidRDefault="00E82574">
      <w:pPr>
        <w:pStyle w:val="E-Mail"/>
        <w:rPr>
          <w:spacing w:val="-2"/>
          <w:lang w:val="es-ES_tradnl"/>
        </w:rPr>
      </w:pPr>
    </w:p>
    <w:p w14:paraId="25ED4FB1" w14:textId="77777777" w:rsidR="008B197E" w:rsidRPr="007E291B" w:rsidRDefault="008B197E" w:rsidP="00E82574">
      <w:pPr>
        <w:pStyle w:val="Author"/>
        <w:spacing w:after="0"/>
        <w:rPr>
          <w:spacing w:val="-2"/>
          <w:lang w:val="es-ES_tradnl"/>
        </w:rPr>
      </w:pPr>
      <w:r w:rsidRPr="007E291B">
        <w:rPr>
          <w:spacing w:val="-2"/>
          <w:lang w:val="es-ES_tradnl"/>
        </w:rPr>
        <w:br w:type="column"/>
      </w:r>
    </w:p>
    <w:p w14:paraId="1C16EF1A" w14:textId="77777777" w:rsidR="008B197E" w:rsidRPr="007E291B" w:rsidRDefault="008B197E">
      <w:pPr>
        <w:pStyle w:val="E-Mail"/>
        <w:rPr>
          <w:spacing w:val="-2"/>
          <w:lang w:val="es-ES_tradnl"/>
        </w:rPr>
      </w:pPr>
    </w:p>
    <w:p w14:paraId="36DF7BF5" w14:textId="77777777" w:rsidR="008B197E" w:rsidRPr="007E291B" w:rsidRDefault="008B197E">
      <w:pPr>
        <w:pStyle w:val="E-Mail"/>
        <w:rPr>
          <w:lang w:val="es-ES_tradnl"/>
        </w:rPr>
      </w:pPr>
    </w:p>
    <w:p w14:paraId="36A332BB" w14:textId="77777777" w:rsidR="008B197E" w:rsidRPr="007E291B" w:rsidRDefault="008B197E">
      <w:pPr>
        <w:jc w:val="center"/>
        <w:rPr>
          <w:lang w:val="es-ES_tradnl"/>
        </w:rPr>
        <w:sectPr w:rsidR="008B197E" w:rsidRPr="007E291B">
          <w:type w:val="continuous"/>
          <w:pgSz w:w="12240" w:h="15840" w:code="1"/>
          <w:pgMar w:top="1440" w:right="1080" w:bottom="1440" w:left="1080" w:header="720" w:footer="720" w:gutter="0"/>
          <w:cols w:num="3" w:space="0"/>
        </w:sectPr>
      </w:pPr>
    </w:p>
    <w:p w14:paraId="2DDE09C6" w14:textId="231B9BCA" w:rsidR="008B197E" w:rsidRPr="007E291B" w:rsidRDefault="001329FD">
      <w:pPr>
        <w:spacing w:after="0"/>
        <w:rPr>
          <w:lang w:val="es-ES_tradnl"/>
        </w:rPr>
      </w:pPr>
      <w:r w:rsidRPr="007E291B">
        <w:rPr>
          <w:b/>
          <w:sz w:val="24"/>
          <w:lang w:val="es-ES_tradnl"/>
        </w:rPr>
        <w:lastRenderedPageBreak/>
        <w:t>RESUMEN</w:t>
      </w:r>
    </w:p>
    <w:p w14:paraId="06E7DD0B" w14:textId="323E0761" w:rsidR="00FB469E" w:rsidRPr="00D95243" w:rsidRDefault="00FB469E">
      <w:pPr>
        <w:pStyle w:val="Abstract"/>
        <w:rPr>
          <w:color w:val="008000"/>
          <w:lang w:val="es-ES_tradnl"/>
        </w:rPr>
      </w:pPr>
      <w:r>
        <w:rPr>
          <w:lang w:val="es-ES_tradnl"/>
        </w:rPr>
        <w:t>Zona Temporalmente Libre de Registro es la consecución de un espacio delimitado dentro del cual no es posible</w:t>
      </w:r>
      <w:r w:rsidR="00DD5B7B">
        <w:rPr>
          <w:rStyle w:val="EndnoteReference"/>
          <w:lang w:val="es-ES_tradnl"/>
        </w:rPr>
        <w:endnoteReference w:id="1"/>
      </w:r>
      <w:r>
        <w:rPr>
          <w:lang w:val="es-ES_tradnl"/>
        </w:rPr>
        <w:t xml:space="preserve"> registrar imagen y sonido en ningún soporte.</w:t>
      </w:r>
      <w:r w:rsidR="00D95243">
        <w:rPr>
          <w:lang w:val="es-ES_tradnl"/>
        </w:rPr>
        <w:t xml:space="preserve"> </w:t>
      </w:r>
      <w:r w:rsidR="00D95243">
        <w:rPr>
          <w:color w:val="008000"/>
          <w:lang w:val="es-ES_tradnl"/>
        </w:rPr>
        <w:t>[algo escueto]</w:t>
      </w:r>
    </w:p>
    <w:p w14:paraId="6B10F9E3" w14:textId="77777777" w:rsidR="00FB469E" w:rsidRDefault="00FB469E" w:rsidP="00323791">
      <w:pPr>
        <w:spacing w:after="0"/>
        <w:rPr>
          <w:b/>
          <w:sz w:val="24"/>
          <w:lang w:val="es-ES_tradnl"/>
        </w:rPr>
      </w:pPr>
    </w:p>
    <w:p w14:paraId="69985E79" w14:textId="00C4C8C2" w:rsidR="00323791" w:rsidRPr="007E291B" w:rsidRDefault="00C6620F" w:rsidP="00323791">
      <w:pPr>
        <w:spacing w:after="0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Líneas de Investigación</w:t>
      </w:r>
    </w:p>
    <w:p w14:paraId="18A280F6" w14:textId="302ED4DB" w:rsidR="00D263AE" w:rsidRPr="007E291B" w:rsidRDefault="00D263AE" w:rsidP="00FB3A6E">
      <w:pPr>
        <w:spacing w:after="0"/>
        <w:rPr>
          <w:lang w:val="es-ES_tradnl"/>
        </w:rPr>
      </w:pPr>
      <w:r w:rsidRPr="007E291B">
        <w:rPr>
          <w:b/>
          <w:lang w:val="es-ES_tradnl"/>
        </w:rPr>
        <w:t>Lenguajes</w:t>
      </w:r>
      <w:r w:rsidR="003567D8">
        <w:rPr>
          <w:b/>
          <w:lang w:val="es-ES_tradnl"/>
        </w:rPr>
        <w:t xml:space="preserve"> Audiovisuales y Cultura Social</w:t>
      </w:r>
    </w:p>
    <w:p w14:paraId="1448F359" w14:textId="6913FDD8" w:rsidR="008B197E" w:rsidRPr="007E291B" w:rsidRDefault="001329FD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Términos Generales</w:t>
      </w:r>
    </w:p>
    <w:p w14:paraId="4DAC694F" w14:textId="5FFF9A7B" w:rsidR="008B197E" w:rsidRPr="007E291B" w:rsidRDefault="00A02972">
      <w:pPr>
        <w:spacing w:after="120"/>
        <w:rPr>
          <w:lang w:val="es-ES_tradnl"/>
        </w:rPr>
      </w:pPr>
      <w:r>
        <w:rPr>
          <w:lang w:val="es-ES_tradnl"/>
        </w:rPr>
        <w:t>Visibilidad, vigilancia, control, obediencia.</w:t>
      </w:r>
    </w:p>
    <w:p w14:paraId="6A50DC94" w14:textId="77777777" w:rsidR="008B197E" w:rsidRPr="007E291B" w:rsidRDefault="008B197E">
      <w:pPr>
        <w:spacing w:before="120" w:after="0"/>
        <w:rPr>
          <w:lang w:val="es-ES_tradnl"/>
        </w:rPr>
      </w:pPr>
      <w:r w:rsidRPr="007E291B">
        <w:rPr>
          <w:b/>
          <w:sz w:val="24"/>
          <w:lang w:val="es-ES_tradnl"/>
        </w:rPr>
        <w:t>Keywords</w:t>
      </w:r>
    </w:p>
    <w:p w14:paraId="3B2B14A6" w14:textId="4B469C85" w:rsidR="008B197E" w:rsidRDefault="00A02972">
      <w:pPr>
        <w:spacing w:after="120"/>
        <w:rPr>
          <w:lang w:val="es-ES_tradnl"/>
        </w:rPr>
      </w:pPr>
      <w:r>
        <w:rPr>
          <w:lang w:val="es-ES_tradnl"/>
        </w:rPr>
        <w:t>Registro, grabación, imagen, sonido, audio, video</w:t>
      </w:r>
      <w:r w:rsidR="003567D8">
        <w:rPr>
          <w:lang w:val="es-ES_tradnl"/>
        </w:rPr>
        <w:t>, invisibilidad, ocultación, zona, tecnología, panóptico, activismo, hackeo.</w:t>
      </w:r>
    </w:p>
    <w:p w14:paraId="7E40A1D2" w14:textId="77777777" w:rsidR="00A02972" w:rsidRPr="007E291B" w:rsidRDefault="00A02972">
      <w:pPr>
        <w:spacing w:after="120"/>
        <w:rPr>
          <w:lang w:val="es-ES_tradnl"/>
        </w:rPr>
      </w:pPr>
    </w:p>
    <w:p w14:paraId="7EC3F9F2" w14:textId="77777777" w:rsidR="008B197E" w:rsidRPr="007E291B" w:rsidRDefault="008B197E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INTRODUCTION</w:t>
      </w:r>
    </w:p>
    <w:p w14:paraId="7EA677BA" w14:textId="701104DF" w:rsidR="00E003F4" w:rsidRDefault="007B5138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Partiendo del Panóptico como paradigma de la </w:t>
      </w:r>
      <w:r w:rsidRPr="00932C9E">
        <w:rPr>
          <w:b/>
          <w:szCs w:val="18"/>
          <w:lang w:val="es-ES_tradnl"/>
        </w:rPr>
        <w:t>vigilancia</w:t>
      </w:r>
      <w:r>
        <w:rPr>
          <w:szCs w:val="18"/>
          <w:lang w:val="es-ES_tradnl"/>
        </w:rPr>
        <w:t xml:space="preserve"> en lo que Foucault denomina Sociedades de Control, pensamos que este esquema se ha extendido en la actualidad fuera del marco de las Instituciones de reclusión/exclusión.</w:t>
      </w:r>
    </w:p>
    <w:p w14:paraId="741BD69B" w14:textId="352F5469" w:rsidR="00932C9E" w:rsidRDefault="007B5138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>Los sistemas técnicos actuales permiten expandir el modelo panóptico al espacio público de la ciudad contemporánea. Los motivos fundamentales de esta expansión tienen varias vertientes. Por una parte las cámaras y micrófonos se co</w:t>
      </w:r>
      <w:r w:rsidR="00932C9E">
        <w:rPr>
          <w:szCs w:val="18"/>
          <w:lang w:val="es-ES_tradnl"/>
        </w:rPr>
        <w:t xml:space="preserve">nvierten en una prótesis barata </w:t>
      </w:r>
      <w:r>
        <w:rPr>
          <w:szCs w:val="18"/>
          <w:lang w:val="es-ES_tradnl"/>
        </w:rPr>
        <w:t>de la mirada del “vigilante” que gracias al desarrollo técnico ha desbordado las barreras del tiempo y el espacio.</w:t>
      </w:r>
      <w:r w:rsidR="00932C9E">
        <w:rPr>
          <w:szCs w:val="18"/>
          <w:lang w:val="es-ES_tradnl"/>
        </w:rPr>
        <w:t xml:space="preserve"> Por otra parte una creciente sensación de inseguridad inducida en la población occidental ha propiciado, no solo la tolerancia, si no la exigencia (el deseo) de vigilancia.</w:t>
      </w:r>
    </w:p>
    <w:p w14:paraId="205C56A5" w14:textId="3A97F9DC" w:rsidR="00215A0E" w:rsidRDefault="00215A0E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>Este primer nivel es una capa de vigilancia aportada por organismos</w:t>
      </w:r>
      <w:r w:rsidR="000978EC">
        <w:rPr>
          <w:szCs w:val="18"/>
          <w:lang w:val="es-ES_tradnl"/>
        </w:rPr>
        <w:t xml:space="preserve"> e</w:t>
      </w:r>
      <w:r>
        <w:rPr>
          <w:szCs w:val="18"/>
          <w:lang w:val="es-ES_tradnl"/>
        </w:rPr>
        <w:t xml:space="preserve"> Instituciones de carácter público y privado. </w:t>
      </w:r>
      <w:r w:rsidRPr="00215A0E">
        <w:rPr>
          <w:szCs w:val="18"/>
          <w:lang w:val="es-ES_tradnl"/>
        </w:rPr>
        <w:t>Desde las cámaras de control de tráfico o la vídeo vigilancia estratégica de los Cuerpos y Fuerzas de Seguridad del Estado, hasta las cámaras de las entidades financieras y otras corporaciones.</w:t>
      </w:r>
    </w:p>
    <w:p w14:paraId="18EE40ED" w14:textId="73592EA2" w:rsidR="00010D37" w:rsidRDefault="00932C9E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En un segundo nivel encontramos el </w:t>
      </w:r>
      <w:r w:rsidRPr="00932C9E">
        <w:rPr>
          <w:b/>
          <w:szCs w:val="18"/>
          <w:lang w:val="es-ES_tradnl"/>
        </w:rPr>
        <w:t>registro</w:t>
      </w:r>
      <w:r>
        <w:rPr>
          <w:b/>
          <w:szCs w:val="18"/>
          <w:lang w:val="es-ES_tradnl"/>
        </w:rPr>
        <w:t xml:space="preserve"> </w:t>
      </w:r>
      <w:r w:rsidR="00010D37">
        <w:rPr>
          <w:szCs w:val="18"/>
          <w:lang w:val="es-ES_tradnl"/>
        </w:rPr>
        <w:t>que se produce debido a la proliferación de aparatos con capacidades de grabación de video y audio</w:t>
      </w:r>
      <w:r w:rsidR="00215A0E">
        <w:rPr>
          <w:szCs w:val="18"/>
          <w:lang w:val="es-ES_tradnl"/>
        </w:rPr>
        <w:t>, como teléfonos, cámaras y grabadoras</w:t>
      </w:r>
      <w:r w:rsidR="00010D37">
        <w:rPr>
          <w:szCs w:val="18"/>
          <w:lang w:val="es-ES_tradnl"/>
        </w:rPr>
        <w:t>.</w:t>
      </w:r>
    </w:p>
    <w:p w14:paraId="073D9147" w14:textId="10ADF546" w:rsidR="00010D37" w:rsidRDefault="00010D37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Y como </w:t>
      </w:r>
      <w:r w:rsidR="000978EC">
        <w:rPr>
          <w:szCs w:val="18"/>
          <w:lang w:val="es-ES_tradnl"/>
        </w:rPr>
        <w:t>elemento de desarrollo técnico</w:t>
      </w:r>
      <w:r>
        <w:rPr>
          <w:szCs w:val="18"/>
          <w:lang w:val="es-ES_tradnl"/>
        </w:rPr>
        <w:t xml:space="preserve"> común de todo ello la digitalización de la imagen y el sonido y su conversión a datos </w:t>
      </w:r>
      <w:r w:rsidR="00D95243">
        <w:rPr>
          <w:color w:val="FF0000"/>
          <w:szCs w:val="18"/>
          <w:lang w:val="es-ES_tradnl"/>
        </w:rPr>
        <w:t>h</w:t>
      </w:r>
      <w:r>
        <w:rPr>
          <w:szCs w:val="18"/>
          <w:lang w:val="es-ES_tradnl"/>
        </w:rPr>
        <w:t>a provocado</w:t>
      </w:r>
      <w:r w:rsidR="000978EC">
        <w:rPr>
          <w:szCs w:val="18"/>
          <w:lang w:val="es-ES_tradnl"/>
        </w:rPr>
        <w:t xml:space="preserve"> facilidad de almacenamiento,</w:t>
      </w:r>
      <w:r>
        <w:rPr>
          <w:szCs w:val="18"/>
          <w:lang w:val="es-ES_tradnl"/>
        </w:rPr>
        <w:t xml:space="preserve"> velocidad de transmisión</w:t>
      </w:r>
      <w:r w:rsidR="000978EC">
        <w:rPr>
          <w:szCs w:val="18"/>
          <w:lang w:val="es-ES_tradnl"/>
        </w:rPr>
        <w:t xml:space="preserve"> y simplicidad de publicación en Internet</w:t>
      </w:r>
      <w:r>
        <w:rPr>
          <w:szCs w:val="18"/>
          <w:lang w:val="es-ES_tradnl"/>
        </w:rPr>
        <w:t>.</w:t>
      </w:r>
    </w:p>
    <w:p w14:paraId="7BA31EDC" w14:textId="756C3AD1" w:rsidR="006709F7" w:rsidRDefault="006709F7" w:rsidP="00421590">
      <w:pPr>
        <w:spacing w:after="120"/>
        <w:rPr>
          <w:szCs w:val="18"/>
          <w:lang w:val="es-ES_tradnl"/>
        </w:rPr>
      </w:pPr>
      <w:r>
        <w:rPr>
          <w:szCs w:val="18"/>
          <w:lang w:val="es-ES_tradnl"/>
        </w:rPr>
        <w:t xml:space="preserve">El espacio público de las ciudades contemporáneas occidentales </w:t>
      </w:r>
      <w:r w:rsidRPr="006709F7">
        <w:rPr>
          <w:szCs w:val="18"/>
          <w:lang w:val="es-ES_tradnl"/>
        </w:rPr>
        <w:t>mantiene la exposición a la visibilidad del panoptismo, lo que provoca los efectos que Foucault aborda en “Vigilar y Castigar”</w:t>
      </w:r>
    </w:p>
    <w:p w14:paraId="6B04E0C2" w14:textId="1ED4A74B" w:rsidR="00932C9E" w:rsidRDefault="006709F7" w:rsidP="006709F7">
      <w:pPr>
        <w:spacing w:after="120"/>
        <w:ind w:left="426" w:right="407"/>
        <w:rPr>
          <w:i/>
          <w:iCs/>
          <w:szCs w:val="18"/>
          <w:lang w:val="es-ES_tradnl"/>
        </w:rPr>
      </w:pPr>
      <w:r w:rsidRPr="006709F7">
        <w:rPr>
          <w:i/>
          <w:iCs/>
          <w:szCs w:val="18"/>
          <w:lang w:val="es-ES_tradnl"/>
        </w:rPr>
        <w:lastRenderedPageBreak/>
        <w:t>"De ahí el efecto mayor del Panóptico: inducir en el detenido un estado consciente y permanente de visibilidad que garantiza el funcionamiento automático del poder. Hacer que la vigilancia sea permanente en sus efectos, incluso si es discontinua en su acción”</w:t>
      </w:r>
      <w:r w:rsidR="00101283">
        <w:rPr>
          <w:rStyle w:val="EndnoteReference"/>
          <w:i/>
          <w:iCs/>
          <w:szCs w:val="18"/>
          <w:lang w:val="es-ES_tradnl"/>
        </w:rPr>
        <w:endnoteReference w:id="2"/>
      </w:r>
    </w:p>
    <w:p w14:paraId="78CB4B78" w14:textId="77777777" w:rsidR="00101283" w:rsidRPr="007C10A8" w:rsidRDefault="00101283" w:rsidP="00101283">
      <w:pPr>
        <w:spacing w:after="120"/>
        <w:ind w:right="-18"/>
        <w:rPr>
          <w:szCs w:val="18"/>
          <w:lang w:val="es-ES_tradnl"/>
        </w:rPr>
      </w:pPr>
    </w:p>
    <w:p w14:paraId="2F3A6509" w14:textId="16B19DCC" w:rsidR="00C4141E" w:rsidRPr="007E291B" w:rsidRDefault="00C4141E" w:rsidP="003A4DA0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Descripción</w:t>
      </w:r>
    </w:p>
    <w:p w14:paraId="126053B0" w14:textId="3F9A9DF8" w:rsidR="00EE658E" w:rsidRDefault="00101283" w:rsidP="00EE658E">
      <w:pPr>
        <w:pStyle w:val="BodyTextIndent"/>
        <w:ind w:firstLine="0"/>
        <w:rPr>
          <w:szCs w:val="18"/>
          <w:lang w:val="es-ES_tradnl"/>
        </w:rPr>
      </w:pPr>
      <w:r>
        <w:rPr>
          <w:szCs w:val="18"/>
          <w:lang w:val="es-ES_tradnl"/>
        </w:rPr>
        <w:t>El proyecto se propone la “con</w:t>
      </w:r>
      <w:r w:rsidR="00DD5B7B">
        <w:rPr>
          <w:szCs w:val="18"/>
          <w:lang w:val="es-ES_tradnl"/>
        </w:rPr>
        <w:t>s</w:t>
      </w:r>
      <w:r>
        <w:rPr>
          <w:szCs w:val="18"/>
          <w:lang w:val="es-ES_tradnl"/>
        </w:rPr>
        <w:t xml:space="preserve">trucción” de una zona donde los aparatos de registro de imagen y sonido sean disfuncionales. </w:t>
      </w:r>
    </w:p>
    <w:p w14:paraId="0A76147E" w14:textId="77777777" w:rsidR="00101283" w:rsidRDefault="00101283" w:rsidP="00EE658E">
      <w:pPr>
        <w:pStyle w:val="BodyTextIndent"/>
        <w:ind w:firstLine="0"/>
        <w:rPr>
          <w:szCs w:val="18"/>
          <w:lang w:val="es-ES_tradnl"/>
        </w:rPr>
      </w:pPr>
    </w:p>
    <w:p w14:paraId="6EFCDB0B" w14:textId="77777777" w:rsidR="00101283" w:rsidRPr="007E291B" w:rsidRDefault="00101283" w:rsidP="00EE658E">
      <w:pPr>
        <w:pStyle w:val="BodyTextIndent"/>
        <w:ind w:firstLine="0"/>
        <w:rPr>
          <w:lang w:val="es-ES_tradnl"/>
        </w:rPr>
      </w:pPr>
    </w:p>
    <w:p w14:paraId="0AEADF9D" w14:textId="26245A0F" w:rsidR="00C4141E" w:rsidRPr="007E291B" w:rsidRDefault="00C4141E" w:rsidP="00EE658E">
      <w:pPr>
        <w:pStyle w:val="BodyTextIndent"/>
        <w:numPr>
          <w:ilvl w:val="1"/>
          <w:numId w:val="3"/>
        </w:numPr>
        <w:ind w:left="357" w:hanging="357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Motivación</w:t>
      </w:r>
      <w:r w:rsidR="00F91CF6" w:rsidRPr="007E291B">
        <w:rPr>
          <w:b/>
          <w:sz w:val="24"/>
          <w:szCs w:val="24"/>
          <w:lang w:val="es-ES_tradnl"/>
        </w:rPr>
        <w:t xml:space="preserve"> </w:t>
      </w:r>
    </w:p>
    <w:p w14:paraId="6D033BE3" w14:textId="3F988481" w:rsidR="005D7DF3" w:rsidRDefault="005D7DF3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En el contexto del festival Observatori 2011 generamos una propuesta que trabajaba directamente con los internos de centros de justicia juvenil. De aquí surgieron las inquietudes que han </w:t>
      </w:r>
      <w:r w:rsidR="00235CBD">
        <w:rPr>
          <w:szCs w:val="18"/>
          <w:lang w:val="es-ES_tradnl"/>
        </w:rPr>
        <w:t>desembocado en</w:t>
      </w:r>
      <w:r>
        <w:rPr>
          <w:szCs w:val="18"/>
          <w:lang w:val="es-ES_tradnl"/>
        </w:rPr>
        <w:t xml:space="preserve"> este proyecto y la intención de desarrollar una línea de trabajo en inscrita en las intersecciones entre arte y sociedad.</w:t>
      </w:r>
    </w:p>
    <w:p w14:paraId="241523E6" w14:textId="7DB863EC" w:rsidR="00947C3C" w:rsidRDefault="005D7DF3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Del trabajo con ellos, de las entrevistas que hizo Lluïso Garcia para la tesis de master “TIC. Alternativas de comunicación dentro del sistema penitenciario” </w:t>
      </w:r>
      <w:r w:rsidR="00235CBD">
        <w:rPr>
          <w:szCs w:val="18"/>
          <w:lang w:val="es-ES_tradnl"/>
        </w:rPr>
        <w:t>y de la propia</w:t>
      </w:r>
      <w:r w:rsidR="001F4258">
        <w:rPr>
          <w:szCs w:val="18"/>
          <w:lang w:val="es-ES_tradnl"/>
        </w:rPr>
        <w:t xml:space="preserve"> tesis surge la </w:t>
      </w:r>
      <w:r w:rsidR="00235CBD">
        <w:rPr>
          <w:szCs w:val="18"/>
          <w:lang w:val="es-ES_tradnl"/>
        </w:rPr>
        <w:t>cuesti</w:t>
      </w:r>
      <w:r w:rsidR="001F4258">
        <w:rPr>
          <w:szCs w:val="18"/>
          <w:lang w:val="es-ES_tradnl"/>
        </w:rPr>
        <w:t>ón fundamental del trabajo: La potencialidad exponencial del régimen escópico panóptico en la era digital.</w:t>
      </w:r>
    </w:p>
    <w:p w14:paraId="6002DFE1" w14:textId="77777777" w:rsidR="001F4258" w:rsidRPr="007E291B" w:rsidRDefault="001F4258" w:rsidP="009A39C5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50F4D11A" w14:textId="0DFB09AE" w:rsidR="00084A4B" w:rsidRPr="00052A53" w:rsidRDefault="00C4141E" w:rsidP="00084A4B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O</w:t>
      </w:r>
      <w:r w:rsidR="009A39C5" w:rsidRPr="007E291B">
        <w:rPr>
          <w:lang w:val="es-ES_tradnl"/>
        </w:rPr>
        <w:t>BJETIVOS</w:t>
      </w:r>
    </w:p>
    <w:p w14:paraId="476196D0" w14:textId="05749AEE" w:rsidR="00C4141E" w:rsidRPr="007E291B" w:rsidRDefault="006C282E" w:rsidP="00BF6CAA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>2.1. Objetivo</w:t>
      </w:r>
      <w:r w:rsidR="00C4141E" w:rsidRPr="007E291B">
        <w:rPr>
          <w:b/>
          <w:sz w:val="24"/>
          <w:szCs w:val="24"/>
          <w:lang w:val="es-ES_tradnl"/>
        </w:rPr>
        <w:t xml:space="preserve"> Gen</w:t>
      </w:r>
      <w:r w:rsidR="000868EB" w:rsidRPr="007E291B">
        <w:rPr>
          <w:b/>
          <w:sz w:val="24"/>
          <w:szCs w:val="24"/>
          <w:lang w:val="es-ES_tradnl"/>
        </w:rPr>
        <w:t>e</w:t>
      </w:r>
      <w:r w:rsidRPr="007E291B">
        <w:rPr>
          <w:b/>
          <w:sz w:val="24"/>
          <w:szCs w:val="24"/>
          <w:lang w:val="es-ES_tradnl"/>
        </w:rPr>
        <w:t>ral</w:t>
      </w:r>
    </w:p>
    <w:p w14:paraId="03DF1549" w14:textId="6C269F52" w:rsidR="00EE658E" w:rsidRPr="007E291B" w:rsidRDefault="00F22D7D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  <w:r w:rsidRPr="007E291B">
        <w:rPr>
          <w:szCs w:val="18"/>
          <w:lang w:val="es-ES_tradnl"/>
        </w:rPr>
        <w:t>Desarrollar un</w:t>
      </w:r>
      <w:r w:rsidR="009A39C5" w:rsidRPr="007E291B">
        <w:rPr>
          <w:szCs w:val="18"/>
          <w:lang w:val="es-ES_tradnl"/>
        </w:rPr>
        <w:t xml:space="preserve"> trabajo de investigación</w:t>
      </w:r>
      <w:r w:rsidRPr="007E291B">
        <w:rPr>
          <w:szCs w:val="18"/>
          <w:lang w:val="es-ES_tradnl"/>
        </w:rPr>
        <w:t xml:space="preserve"> </w:t>
      </w:r>
      <w:r w:rsidR="00907B23" w:rsidRPr="007E291B">
        <w:rPr>
          <w:szCs w:val="18"/>
          <w:lang w:val="es-ES_tradnl"/>
        </w:rPr>
        <w:t xml:space="preserve">teórica </w:t>
      </w:r>
      <w:r w:rsidR="00235CBD">
        <w:rPr>
          <w:szCs w:val="18"/>
          <w:lang w:val="es-ES_tradnl"/>
        </w:rPr>
        <w:t>sobre los aspectos clave de la vigilancia y su extensión en el ámbito público contemporáneo y desarrollar un trabajo práctico de prototipado de un espacio protegido contra la vigilancia y el registro.</w:t>
      </w:r>
    </w:p>
    <w:p w14:paraId="690BE1CC" w14:textId="77777777" w:rsidR="00EE658E" w:rsidRPr="007E291B" w:rsidRDefault="00EE658E" w:rsidP="00EE658E">
      <w:pPr>
        <w:spacing w:after="0"/>
        <w:rPr>
          <w:color w:val="222222"/>
          <w:szCs w:val="18"/>
          <w:shd w:val="clear" w:color="auto" w:fill="FFFFFF"/>
          <w:lang w:val="es-ES_tradnl"/>
        </w:rPr>
      </w:pPr>
    </w:p>
    <w:p w14:paraId="50CC7218" w14:textId="2530EEFD" w:rsidR="00623C2C" w:rsidRPr="007E291B" w:rsidRDefault="00623C2C" w:rsidP="00EE658E">
      <w:pPr>
        <w:spacing w:after="0"/>
        <w:rPr>
          <w:lang w:val="es-ES_tradnl"/>
        </w:rPr>
      </w:pPr>
      <w:r w:rsidRPr="007E291B">
        <w:rPr>
          <w:b/>
          <w:sz w:val="24"/>
          <w:szCs w:val="24"/>
          <w:lang w:val="es-ES_tradnl"/>
        </w:rPr>
        <w:t>2.2. Objetivos Específicos</w:t>
      </w:r>
    </w:p>
    <w:p w14:paraId="51F5AC3E" w14:textId="3205E5AB" w:rsidR="007820F0" w:rsidRPr="007E291B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1042B6" w:rsidRPr="007E291B">
        <w:rPr>
          <w:lang w:val="es-ES_tradnl"/>
        </w:rPr>
        <w:t xml:space="preserve">Profundizar en los conceptos </w:t>
      </w:r>
      <w:r w:rsidR="00DD5B7B">
        <w:rPr>
          <w:lang w:val="es-ES_tradnl"/>
        </w:rPr>
        <w:t>vigilancia, control, obediencia</w:t>
      </w:r>
      <w:r w:rsidR="00A02972">
        <w:rPr>
          <w:lang w:val="es-ES_tradnl"/>
        </w:rPr>
        <w:t>, contraespionaje</w:t>
      </w:r>
      <w:r w:rsidR="00917DC2" w:rsidRPr="007E291B">
        <w:rPr>
          <w:lang w:val="es-ES_tradnl"/>
        </w:rPr>
        <w:t>.</w:t>
      </w:r>
    </w:p>
    <w:p w14:paraId="2CCA1A26" w14:textId="76CB03C0" w:rsidR="001042B6" w:rsidRPr="007E291B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>-</w:t>
      </w:r>
      <w:r w:rsidR="00DD5B7B">
        <w:rPr>
          <w:lang w:val="es-ES_tradnl"/>
        </w:rPr>
        <w:t xml:space="preserve"> Experimentar con hardware y software, que provoquen disfunciones en los aparatos de registro y grabación</w:t>
      </w:r>
      <w:r w:rsidR="008C42BC" w:rsidRPr="007E291B">
        <w:rPr>
          <w:lang w:val="es-ES_tradnl"/>
        </w:rPr>
        <w:t>.</w:t>
      </w:r>
    </w:p>
    <w:p w14:paraId="7DF9C009" w14:textId="4F72ADDE" w:rsidR="008C42BC" w:rsidRDefault="00AC2B6E" w:rsidP="00DD5B7B">
      <w:pPr>
        <w:spacing w:after="0"/>
        <w:rPr>
          <w:lang w:val="es-ES_tradnl"/>
        </w:rPr>
      </w:pPr>
      <w:r w:rsidRPr="007E291B">
        <w:rPr>
          <w:lang w:val="es-ES_tradnl"/>
        </w:rPr>
        <w:t xml:space="preserve">- </w:t>
      </w:r>
      <w:r w:rsidR="00DD5B7B">
        <w:rPr>
          <w:lang w:val="es-ES_tradnl"/>
        </w:rPr>
        <w:t>Conseguir un espacio temporal donde la vigilancia electrónica esté neutralizada.</w:t>
      </w:r>
    </w:p>
    <w:p w14:paraId="2748A9EA" w14:textId="55EA7876" w:rsidR="00A02972" w:rsidRDefault="00A02972" w:rsidP="00DD5B7B">
      <w:pPr>
        <w:spacing w:after="0"/>
        <w:rPr>
          <w:lang w:val="es-ES_tradnl"/>
        </w:rPr>
      </w:pPr>
      <w:r>
        <w:rPr>
          <w:lang w:val="es-ES_tradnl"/>
        </w:rPr>
        <w:t>- Experimentar en el ámbito del arte con una intervención social de carácter activista.</w:t>
      </w:r>
    </w:p>
    <w:p w14:paraId="4E167AD2" w14:textId="77777777" w:rsidR="00DD5B7B" w:rsidRPr="007E291B" w:rsidRDefault="00DD5B7B" w:rsidP="00DD5B7B">
      <w:pPr>
        <w:spacing w:after="0"/>
        <w:rPr>
          <w:lang w:val="es-ES_tradnl"/>
        </w:rPr>
      </w:pPr>
    </w:p>
    <w:p w14:paraId="3F65AC8E" w14:textId="77777777" w:rsidR="00DD5B7B" w:rsidRPr="007E291B" w:rsidRDefault="00DD5B7B" w:rsidP="00EE658E">
      <w:pPr>
        <w:spacing w:after="0"/>
        <w:rPr>
          <w:lang w:val="es-ES_tradnl"/>
        </w:rPr>
      </w:pPr>
    </w:p>
    <w:p w14:paraId="5FCEBB41" w14:textId="06A2C282" w:rsidR="008B197E" w:rsidRPr="007E291B" w:rsidRDefault="00156682" w:rsidP="00EE658E">
      <w:pPr>
        <w:pStyle w:val="Heading1"/>
        <w:spacing w:before="0"/>
        <w:rPr>
          <w:lang w:val="es-ES_tradnl"/>
        </w:rPr>
      </w:pPr>
      <w:r w:rsidRPr="007E291B">
        <w:rPr>
          <w:lang w:val="es-ES_tradnl"/>
        </w:rPr>
        <w:t>METODOLOGIA</w:t>
      </w:r>
    </w:p>
    <w:p w14:paraId="14D52613" w14:textId="65C62128" w:rsidR="00847363" w:rsidRDefault="00A95D13">
      <w:pPr>
        <w:spacing w:after="120"/>
        <w:rPr>
          <w:lang w:val="es-ES_tradnl"/>
        </w:rPr>
      </w:pPr>
      <w:r w:rsidRPr="007E291B">
        <w:rPr>
          <w:lang w:val="es-ES_tradnl"/>
        </w:rPr>
        <w:t>La metodología</w:t>
      </w:r>
      <w:r w:rsidR="00847363">
        <w:rPr>
          <w:lang w:val="es-ES_tradnl"/>
        </w:rPr>
        <w:t>,</w:t>
      </w:r>
      <w:r w:rsidRPr="007E291B">
        <w:rPr>
          <w:lang w:val="es-ES_tradnl"/>
        </w:rPr>
        <w:t xml:space="preserve"> </w:t>
      </w:r>
      <w:r w:rsidR="00847363">
        <w:rPr>
          <w:lang w:val="es-ES_tradnl"/>
        </w:rPr>
        <w:t>en cuanto a la parte teórica del trabajo,</w:t>
      </w:r>
      <w:r w:rsidRPr="007E291B">
        <w:rPr>
          <w:lang w:val="es-ES_tradnl"/>
        </w:rPr>
        <w:t xml:space="preserve"> será cualitativa</w:t>
      </w:r>
      <w:r w:rsidR="001E386E">
        <w:rPr>
          <w:lang w:val="es-ES_tradnl"/>
        </w:rPr>
        <w:t>,</w:t>
      </w:r>
      <w:r w:rsidRPr="007E291B">
        <w:rPr>
          <w:lang w:val="es-ES_tradnl"/>
        </w:rPr>
        <w:t xml:space="preserve"> a través de la revisión bibliográfica, investigación de campo y la experiencia propia</w:t>
      </w:r>
      <w:r w:rsidR="00847363">
        <w:rPr>
          <w:lang w:val="es-ES_tradnl"/>
        </w:rPr>
        <w:t xml:space="preserve">. Esperamos con esta parte de la investigación </w:t>
      </w:r>
      <w:r w:rsidR="001E73B7">
        <w:rPr>
          <w:lang w:val="es-ES_tradnl"/>
        </w:rPr>
        <w:t>inducir</w:t>
      </w:r>
      <w:r w:rsidR="00847363">
        <w:rPr>
          <w:lang w:val="es-ES_tradnl"/>
        </w:rPr>
        <w:t xml:space="preserve"> la necesidad estratégica de contar ZTLR </w:t>
      </w:r>
      <w:r w:rsidR="00847363">
        <w:rPr>
          <w:lang w:val="es-ES_tradnl"/>
        </w:rPr>
        <w:lastRenderedPageBreak/>
        <w:t>como herramienta política, que remarque el carácter “excepcional” que actualmente tiene el derecho a la privacidad.</w:t>
      </w:r>
    </w:p>
    <w:p w14:paraId="18F28555" w14:textId="4D52E798" w:rsidR="008B197E" w:rsidRPr="007E291B" w:rsidRDefault="00847363">
      <w:pPr>
        <w:spacing w:after="120"/>
        <w:rPr>
          <w:lang w:val="es-ES_tradnl"/>
        </w:rPr>
      </w:pPr>
      <w:r>
        <w:rPr>
          <w:lang w:val="es-ES_tradnl"/>
        </w:rPr>
        <w:t>En cuanto a la par</w:t>
      </w:r>
      <w:r w:rsidR="00FC59DF">
        <w:rPr>
          <w:lang w:val="es-ES_tradnl"/>
        </w:rPr>
        <w:t>te práctica la metodología cuantitativa con pruebas encaminadas a la resolución técnica que inhabilite los d</w:t>
      </w:r>
      <w:r w:rsidR="001E73B7">
        <w:rPr>
          <w:lang w:val="es-ES_tradnl"/>
        </w:rPr>
        <w:t xml:space="preserve">ispositivos de registro de imagen y sonido, de forma que sea un sistema sólido y reproducible en </w:t>
      </w:r>
      <w:r w:rsidR="00984A4E">
        <w:rPr>
          <w:lang w:val="es-ES_tradnl"/>
        </w:rPr>
        <w:t>diferentes espacios</w:t>
      </w:r>
      <w:r w:rsidR="001E73B7">
        <w:rPr>
          <w:lang w:val="es-ES_tradnl"/>
        </w:rPr>
        <w:t>.</w:t>
      </w:r>
      <w:r w:rsidR="00FC59DF">
        <w:rPr>
          <w:lang w:val="es-ES_tradnl"/>
        </w:rPr>
        <w:t xml:space="preserve"> </w:t>
      </w:r>
      <w:r>
        <w:rPr>
          <w:lang w:val="es-ES_tradnl"/>
        </w:rPr>
        <w:t xml:space="preserve"> </w:t>
      </w:r>
    </w:p>
    <w:p w14:paraId="27D1B2FC" w14:textId="77777777" w:rsidR="008B197E" w:rsidRPr="007E291B" w:rsidRDefault="008B197E">
      <w:pPr>
        <w:pStyle w:val="BodyTextIndent"/>
        <w:ind w:firstLine="0"/>
        <w:rPr>
          <w:lang w:val="es-ES_tradnl"/>
        </w:rPr>
      </w:pPr>
    </w:p>
    <w:p w14:paraId="32CC3DB9" w14:textId="732D9794" w:rsidR="008B197E" w:rsidRDefault="00FC59DF" w:rsidP="00953350">
      <w:pPr>
        <w:pStyle w:val="Heading1"/>
        <w:spacing w:before="0"/>
        <w:rPr>
          <w:lang w:val="es-ES_tradnl"/>
        </w:rPr>
      </w:pPr>
      <w:r>
        <w:rPr>
          <w:lang w:val="es-ES_tradnl"/>
        </w:rPr>
        <w:t>ANTECEDENTES</w:t>
      </w:r>
    </w:p>
    <w:p w14:paraId="1E6D8AE7" w14:textId="5268C6C8" w:rsidR="00671EBC" w:rsidRDefault="00984A4E" w:rsidP="00953350">
      <w:pPr>
        <w:spacing w:after="0"/>
        <w:rPr>
          <w:lang w:val="es-ES_tradnl"/>
        </w:rPr>
      </w:pPr>
      <w:r>
        <w:rPr>
          <w:lang w:val="es-ES_tradnl"/>
        </w:rPr>
        <w:t>Debido a las características del trabajo hemos dividido los referentes en cuatro categorías, que a su vez se dividen en subcategorías.</w:t>
      </w:r>
    </w:p>
    <w:p w14:paraId="60F217C9" w14:textId="77777777" w:rsidR="00984A4E" w:rsidRDefault="00984A4E" w:rsidP="00953350">
      <w:pPr>
        <w:spacing w:after="0"/>
        <w:rPr>
          <w:lang w:val="es-ES_tradnl"/>
        </w:rPr>
      </w:pPr>
    </w:p>
    <w:p w14:paraId="343F9DA3" w14:textId="79B116E5" w:rsidR="00953350" w:rsidRPr="007E291B" w:rsidRDefault="00953350" w:rsidP="00953350">
      <w:pPr>
        <w:spacing w:after="0"/>
        <w:rPr>
          <w:b/>
          <w:sz w:val="24"/>
          <w:szCs w:val="24"/>
          <w:lang w:val="es-ES_tradnl"/>
        </w:rPr>
      </w:pPr>
      <w:r w:rsidRPr="007E291B">
        <w:rPr>
          <w:b/>
          <w:sz w:val="24"/>
          <w:szCs w:val="24"/>
          <w:lang w:val="es-ES_tradnl"/>
        </w:rPr>
        <w:t xml:space="preserve">4.1. Referentes </w:t>
      </w:r>
      <w:r w:rsidR="00052A53">
        <w:rPr>
          <w:b/>
          <w:sz w:val="24"/>
          <w:szCs w:val="24"/>
          <w:lang w:val="es-ES_tradnl"/>
        </w:rPr>
        <w:t>C</w:t>
      </w:r>
      <w:r w:rsidR="002211F5">
        <w:rPr>
          <w:b/>
          <w:sz w:val="24"/>
          <w:szCs w:val="24"/>
          <w:lang w:val="es-ES_tradnl"/>
        </w:rPr>
        <w:t>onceptuales</w:t>
      </w:r>
    </w:p>
    <w:p w14:paraId="36B26DE4" w14:textId="5E019B40" w:rsidR="00984A4E" w:rsidRDefault="00984A4E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HACKIM BEY. Zonal temporalmente Autónoma</w:t>
      </w:r>
    </w:p>
    <w:p w14:paraId="399259D8" w14:textId="33A904BB" w:rsidR="00A850DF" w:rsidRPr="00A850DF" w:rsidRDefault="00A850DF" w:rsidP="00A850DF">
      <w:pPr>
        <w:ind w:left="426" w:right="569"/>
        <w:rPr>
          <w:i/>
          <w:szCs w:val="18"/>
          <w:lang w:val="es-ES_tradnl"/>
        </w:rPr>
      </w:pPr>
      <w:r w:rsidRPr="00A850DF">
        <w:rPr>
          <w:i/>
          <w:szCs w:val="18"/>
          <w:lang w:val="es-ES_tradnl"/>
        </w:rPr>
        <w:t>“El ataque se hace contra estructuras de control, esencialmente contra las ideas; y la defensa es la «invisibilidad»”</w:t>
      </w:r>
      <w:r>
        <w:rPr>
          <w:rStyle w:val="EndnoteReference"/>
          <w:i/>
          <w:szCs w:val="18"/>
          <w:lang w:val="es-ES_tradnl"/>
        </w:rPr>
        <w:endnoteReference w:id="3"/>
      </w:r>
    </w:p>
    <w:p w14:paraId="74386A31" w14:textId="0F0C691D" w:rsidR="001D4DDE" w:rsidRDefault="00E96931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 xml:space="preserve">La identificación de la propuesta con el texto TAZ de </w:t>
      </w:r>
      <w:r w:rsidRPr="00E96931">
        <w:rPr>
          <w:bCs/>
          <w:szCs w:val="18"/>
          <w:lang w:val="es-ES_tradnl"/>
        </w:rPr>
        <w:t>Peter Lamborn Wilson</w:t>
      </w:r>
      <w:r w:rsidRPr="00E96931">
        <w:rPr>
          <w:szCs w:val="18"/>
          <w:lang w:val="es-ES_tradnl"/>
        </w:rPr>
        <w:t xml:space="preserve"> </w:t>
      </w:r>
      <w:r>
        <w:rPr>
          <w:szCs w:val="18"/>
          <w:lang w:val="es-ES_tradnl"/>
        </w:rPr>
        <w:t xml:space="preserve">es clara. El título del trabajo hace referencia al texto, que habla de aquello que está fuera del control de las autoridades como una </w:t>
      </w:r>
      <w:r w:rsidR="007A7374">
        <w:rPr>
          <w:szCs w:val="18"/>
          <w:lang w:val="es-ES_tradnl"/>
        </w:rPr>
        <w:t>utopía.</w:t>
      </w:r>
    </w:p>
    <w:p w14:paraId="6A294803" w14:textId="77777777" w:rsidR="007A7374" w:rsidRDefault="007A7374" w:rsidP="00984A4E">
      <w:pPr>
        <w:rPr>
          <w:szCs w:val="18"/>
          <w:lang w:val="es-ES_tradnl"/>
        </w:rPr>
      </w:pPr>
    </w:p>
    <w:p w14:paraId="55FD0E58" w14:textId="48AF7B5F" w:rsidR="00184229" w:rsidRDefault="00E5535D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MICHEL FOUCAULT</w:t>
      </w:r>
      <w:r w:rsidR="00184229">
        <w:rPr>
          <w:szCs w:val="18"/>
          <w:lang w:val="es-ES_tradnl"/>
        </w:rPr>
        <w:t>. Vigilar y castigar</w:t>
      </w:r>
    </w:p>
    <w:p w14:paraId="7AB5AA0B" w14:textId="1659715A" w:rsidR="004949C1" w:rsidRPr="004949C1" w:rsidRDefault="004949C1" w:rsidP="004949C1">
      <w:pPr>
        <w:ind w:left="426" w:right="569"/>
        <w:rPr>
          <w:i/>
          <w:color w:val="000000"/>
          <w:szCs w:val="18"/>
          <w:lang w:val="es-ES_tradnl"/>
        </w:rPr>
      </w:pPr>
      <w:r w:rsidRPr="004949C1">
        <w:rPr>
          <w:i/>
          <w:color w:val="000000"/>
          <w:szCs w:val="18"/>
          <w:lang w:val="es-ES_tradnl"/>
        </w:rPr>
        <w:t>"el que está sometido a un campo de visibilidad, y que lo sabe, reproduce por su cuenta las coacciones del poder; las hace jugar espontáneamente sobre sí mismo; inscribe en sí mismo la relación de poder en la cual juega simultáneamente los dos papeles; se convierte en el principio de su propio sometimiento.”</w:t>
      </w:r>
      <w:r>
        <w:rPr>
          <w:rStyle w:val="EndnoteReference"/>
          <w:i/>
          <w:color w:val="000000"/>
          <w:szCs w:val="18"/>
          <w:lang w:val="es-ES_tradnl"/>
        </w:rPr>
        <w:endnoteReference w:id="4"/>
      </w:r>
    </w:p>
    <w:p w14:paraId="4CBC8A0F" w14:textId="264958FD" w:rsidR="007A7374" w:rsidRDefault="007A7374" w:rsidP="00984A4E">
      <w:pPr>
        <w:rPr>
          <w:szCs w:val="18"/>
          <w:lang w:val="es-ES_tradnl"/>
        </w:rPr>
      </w:pPr>
      <w:r>
        <w:rPr>
          <w:szCs w:val="18"/>
          <w:lang w:val="es-ES_tradnl"/>
        </w:rPr>
        <w:t>La potencialidad de ser observado/vigilado y su influencia en la conducta de las personas, es el núcleo central del trabajo que proponemos.</w:t>
      </w:r>
    </w:p>
    <w:p w14:paraId="4B506897" w14:textId="77777777" w:rsidR="00D46624" w:rsidRDefault="00D46624" w:rsidP="00184229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334EC28D" w14:textId="77777777" w:rsidR="001D4DDE" w:rsidRPr="007E291B" w:rsidRDefault="001D4DDE" w:rsidP="00184229">
      <w:pPr>
        <w:widowControl w:val="0"/>
        <w:autoSpaceDE w:val="0"/>
        <w:autoSpaceDN w:val="0"/>
        <w:adjustRightInd w:val="0"/>
        <w:spacing w:after="0"/>
        <w:rPr>
          <w:szCs w:val="18"/>
          <w:lang w:val="es-ES_tradnl"/>
        </w:rPr>
      </w:pPr>
    </w:p>
    <w:p w14:paraId="0A6AC1CC" w14:textId="14A81CF6" w:rsidR="00A4241C" w:rsidRPr="00052A53" w:rsidRDefault="00052A53" w:rsidP="009D1514">
      <w:pPr>
        <w:widowControl w:val="0"/>
        <w:autoSpaceDE w:val="0"/>
        <w:autoSpaceDN w:val="0"/>
        <w:adjustRightInd w:val="0"/>
        <w:spacing w:after="0"/>
        <w:rPr>
          <w:b/>
          <w:sz w:val="24"/>
          <w:szCs w:val="24"/>
          <w:lang w:val="es-ES_tradnl"/>
        </w:rPr>
      </w:pPr>
      <w:r w:rsidRPr="00052A53">
        <w:rPr>
          <w:b/>
          <w:sz w:val="24"/>
          <w:szCs w:val="24"/>
          <w:lang w:val="es-ES_tradnl"/>
        </w:rPr>
        <w:t>4.2.</w:t>
      </w:r>
      <w:r w:rsidR="00A4241C" w:rsidRPr="00052A53">
        <w:rPr>
          <w:b/>
          <w:sz w:val="24"/>
          <w:szCs w:val="24"/>
          <w:lang w:val="es-ES_tradnl"/>
        </w:rPr>
        <w:t xml:space="preserve"> Referentes </w:t>
      </w:r>
      <w:r w:rsidR="000E5D6D">
        <w:rPr>
          <w:b/>
          <w:sz w:val="24"/>
          <w:szCs w:val="24"/>
          <w:lang w:val="es-ES_tradnl"/>
        </w:rPr>
        <w:t>Cultura de masas</w:t>
      </w:r>
    </w:p>
    <w:p w14:paraId="127196C8" w14:textId="22B37EAC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4.2.1 Televisión (Series, Publicidad, Programas)</w:t>
      </w:r>
    </w:p>
    <w:p w14:paraId="7026FC8C" w14:textId="34368D1D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 xml:space="preserve">Gran </w:t>
      </w:r>
      <w:r w:rsidR="00C4706D">
        <w:rPr>
          <w:szCs w:val="18"/>
          <w:lang w:val="es-ES_tradnl"/>
        </w:rPr>
        <w:t>hermano</w:t>
      </w:r>
    </w:p>
    <w:p w14:paraId="5B0F510B" w14:textId="372B19B6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Person of interest</w:t>
      </w:r>
    </w:p>
    <w:p w14:paraId="5446B218" w14:textId="3600D44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Black mirror</w:t>
      </w:r>
    </w:p>
    <w:p w14:paraId="0B86308A" w14:textId="58DD9AB0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Publicidad de empresas de seguridad</w:t>
      </w:r>
    </w:p>
    <w:p w14:paraId="682FF25C" w14:textId="4884306C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4.2.2 Cine/Documental</w:t>
      </w:r>
    </w:p>
    <w:p w14:paraId="7F031BDA" w14:textId="3875FB0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Minority report</w:t>
      </w:r>
    </w:p>
    <w:p w14:paraId="1B737C58" w14:textId="60E4D46F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La vida de los otros</w:t>
      </w:r>
    </w:p>
    <w:p w14:paraId="212D460B" w14:textId="06960EF7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Blade Runner</w:t>
      </w:r>
    </w:p>
    <w:p w14:paraId="45B68841" w14:textId="45AE6252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Brazil</w:t>
      </w:r>
    </w:p>
    <w:p w14:paraId="4DFEB2D6" w14:textId="3D5ABD07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Show de Truman</w:t>
      </w:r>
    </w:p>
    <w:p w14:paraId="5D129A8B" w14:textId="2DBFC101" w:rsidR="000E5D6D" w:rsidRDefault="000E5D6D" w:rsidP="000E5D6D">
      <w:pPr>
        <w:rPr>
          <w:szCs w:val="18"/>
          <w:lang w:val="es-ES_tradnl"/>
        </w:rPr>
      </w:pPr>
      <w:r>
        <w:rPr>
          <w:szCs w:val="18"/>
          <w:lang w:val="es-ES_tradnl"/>
        </w:rPr>
        <w:t>1984</w:t>
      </w:r>
    </w:p>
    <w:p w14:paraId="75F47559" w14:textId="77777777" w:rsidR="00370625" w:rsidRPr="007E291B" w:rsidRDefault="00370625" w:rsidP="0007493E">
      <w:pPr>
        <w:spacing w:after="0"/>
        <w:rPr>
          <w:b/>
          <w:sz w:val="24"/>
          <w:szCs w:val="24"/>
          <w:lang w:val="es-ES_tradnl"/>
        </w:rPr>
      </w:pPr>
    </w:p>
    <w:p w14:paraId="08F48A5E" w14:textId="77777777" w:rsidR="000822F7" w:rsidRDefault="00052A53" w:rsidP="0007493E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4.3</w:t>
      </w:r>
      <w:r w:rsidR="002211F5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 xml:space="preserve">Referentes </w:t>
      </w:r>
      <w:r w:rsidR="000822F7">
        <w:rPr>
          <w:b/>
          <w:sz w:val="24"/>
          <w:szCs w:val="24"/>
          <w:lang w:val="es-ES_tradnl"/>
        </w:rPr>
        <w:t>Artísticos</w:t>
      </w:r>
    </w:p>
    <w:p w14:paraId="20687EC8" w14:textId="497700B1" w:rsidR="0007493E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4.3.1 Estrategias de ocultación/visibilidad</w:t>
      </w:r>
    </w:p>
    <w:p w14:paraId="455F1410" w14:textId="4A4BDA21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Martin Backes. Pixelhead</w:t>
      </w:r>
    </w:p>
    <w:p w14:paraId="6B918FF0" w14:textId="126D66DC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lastRenderedPageBreak/>
        <w:t>Adam Harbey. CV Dazzle</w:t>
      </w:r>
    </w:p>
    <w:p w14:paraId="0A0FC757" w14:textId="6B5F2F9A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 xml:space="preserve">Harun Farocki. Contre-chant </w:t>
      </w:r>
    </w:p>
    <w:p w14:paraId="4DD7D04E" w14:textId="75109FEF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Frank Thiel. City TV. Berlin</w:t>
      </w:r>
    </w:p>
    <w:p w14:paraId="3DB21D08" w14:textId="19D48079" w:rsidR="000822F7" w:rsidRDefault="000822F7" w:rsidP="0007493E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Julia Scher. Security by Julia</w:t>
      </w:r>
    </w:p>
    <w:p w14:paraId="66B50468" w14:textId="77777777" w:rsidR="000822F7" w:rsidRDefault="000822F7" w:rsidP="0007493E">
      <w:pPr>
        <w:spacing w:after="0"/>
        <w:rPr>
          <w:b/>
          <w:sz w:val="24"/>
          <w:szCs w:val="24"/>
          <w:lang w:val="es-ES_tradnl"/>
        </w:rPr>
      </w:pPr>
    </w:p>
    <w:p w14:paraId="2F6D0683" w14:textId="139C27C6" w:rsidR="000822F7" w:rsidRDefault="000822F7" w:rsidP="000822F7">
      <w:pPr>
        <w:spacing w:after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4.4. Referentes Técnicos</w:t>
      </w:r>
    </w:p>
    <w:p w14:paraId="049F9BA5" w14:textId="4A012811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Contra-espionaje</w:t>
      </w:r>
    </w:p>
    <w:p w14:paraId="0C483AB7" w14:textId="05230DAC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Empresas de vigilancia</w:t>
      </w:r>
    </w:p>
    <w:p w14:paraId="296AE6C0" w14:textId="2CD0429F" w:rsidR="000822F7" w:rsidRDefault="000822F7" w:rsidP="000822F7">
      <w:pPr>
        <w:spacing w:after="0"/>
        <w:rPr>
          <w:szCs w:val="18"/>
          <w:lang w:val="es-ES_tradnl"/>
        </w:rPr>
      </w:pPr>
      <w:r>
        <w:rPr>
          <w:szCs w:val="18"/>
          <w:lang w:val="es-ES_tradnl"/>
        </w:rPr>
        <w:t>Video procesado en tiempo real. The guardian project</w:t>
      </w:r>
    </w:p>
    <w:p w14:paraId="407DA699" w14:textId="77777777" w:rsidR="000822F7" w:rsidRPr="007E291B" w:rsidRDefault="000822F7" w:rsidP="0007493E">
      <w:pPr>
        <w:spacing w:after="0"/>
        <w:rPr>
          <w:b/>
          <w:sz w:val="24"/>
          <w:szCs w:val="24"/>
          <w:lang w:val="es-ES_tradnl"/>
        </w:rPr>
      </w:pPr>
    </w:p>
    <w:p w14:paraId="023DAEEF" w14:textId="4EE31A3F" w:rsidR="00074704" w:rsidRDefault="00074704" w:rsidP="00074704">
      <w:pPr>
        <w:pStyle w:val="Heading1"/>
        <w:spacing w:before="120"/>
        <w:rPr>
          <w:lang w:val="es-ES_tradnl"/>
        </w:rPr>
      </w:pPr>
      <w:r>
        <w:rPr>
          <w:lang w:val="es-ES_tradnl"/>
        </w:rPr>
        <w:t>PLAN DE TRABAJO</w:t>
      </w:r>
    </w:p>
    <w:p w14:paraId="7972CEEE" w14:textId="0E22111C" w:rsidR="00074704" w:rsidRDefault="00074704" w:rsidP="00322AA6">
      <w:pPr>
        <w:spacing w:after="0"/>
        <w:rPr>
          <w:b/>
          <w:sz w:val="24"/>
          <w:szCs w:val="24"/>
          <w:lang w:val="es-ES_tradnl"/>
        </w:rPr>
      </w:pPr>
      <w:r w:rsidRPr="00074704">
        <w:rPr>
          <w:b/>
          <w:sz w:val="24"/>
          <w:szCs w:val="24"/>
        </w:rPr>
        <w:t xml:space="preserve">5.1. </w:t>
      </w:r>
      <w:r w:rsidRPr="00074704">
        <w:rPr>
          <w:b/>
          <w:sz w:val="24"/>
          <w:szCs w:val="24"/>
          <w:lang w:val="es-ES_tradnl"/>
        </w:rPr>
        <w:t>Cronograma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838"/>
        <w:gridCol w:w="803"/>
        <w:gridCol w:w="803"/>
        <w:gridCol w:w="804"/>
        <w:gridCol w:w="804"/>
      </w:tblGrid>
      <w:tr w:rsidR="00B02862" w:rsidRPr="00B02862" w14:paraId="5E7E6FF6" w14:textId="77777777" w:rsidTr="00B02862">
        <w:tc>
          <w:tcPr>
            <w:tcW w:w="803" w:type="dxa"/>
          </w:tcPr>
          <w:p w14:paraId="3090A4D4" w14:textId="361715D1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Enero</w:t>
            </w:r>
          </w:p>
        </w:tc>
        <w:tc>
          <w:tcPr>
            <w:tcW w:w="838" w:type="dxa"/>
          </w:tcPr>
          <w:p w14:paraId="38101F86" w14:textId="2EACC1FA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Febrero</w:t>
            </w:r>
          </w:p>
        </w:tc>
        <w:tc>
          <w:tcPr>
            <w:tcW w:w="803" w:type="dxa"/>
          </w:tcPr>
          <w:p w14:paraId="5D962E98" w14:textId="349A5F80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Marzo</w:t>
            </w:r>
          </w:p>
        </w:tc>
        <w:tc>
          <w:tcPr>
            <w:tcW w:w="803" w:type="dxa"/>
          </w:tcPr>
          <w:p w14:paraId="65867208" w14:textId="214E7683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Abril</w:t>
            </w:r>
          </w:p>
        </w:tc>
        <w:tc>
          <w:tcPr>
            <w:tcW w:w="804" w:type="dxa"/>
          </w:tcPr>
          <w:p w14:paraId="71D17D90" w14:textId="5A253E3B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Mayo</w:t>
            </w:r>
          </w:p>
        </w:tc>
        <w:tc>
          <w:tcPr>
            <w:tcW w:w="804" w:type="dxa"/>
          </w:tcPr>
          <w:p w14:paraId="0CCAE34B" w14:textId="61D13194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Junio</w:t>
            </w:r>
          </w:p>
        </w:tc>
      </w:tr>
      <w:tr w:rsidR="00B02862" w:rsidRPr="00B02862" w14:paraId="5A8D141F" w14:textId="77777777" w:rsidTr="00B02862">
        <w:tc>
          <w:tcPr>
            <w:tcW w:w="2444" w:type="dxa"/>
            <w:gridSpan w:val="3"/>
            <w:shd w:val="clear" w:color="auto" w:fill="8FEF74"/>
          </w:tcPr>
          <w:p w14:paraId="03F34086" w14:textId="3AD6C257" w:rsidR="00B02862" w:rsidRPr="00B02862" w:rsidRDefault="00B02862" w:rsidP="0007470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Investigación</w:t>
            </w:r>
            <w:r w:rsidRPr="00B02862">
              <w:rPr>
                <w:sz w:val="20"/>
                <w:lang w:val="es-ES_tradnl"/>
              </w:rPr>
              <w:t xml:space="preserve"> teórica</w:t>
            </w:r>
          </w:p>
        </w:tc>
        <w:tc>
          <w:tcPr>
            <w:tcW w:w="803" w:type="dxa"/>
          </w:tcPr>
          <w:p w14:paraId="25FEF653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4" w:type="dxa"/>
          </w:tcPr>
          <w:p w14:paraId="413C96FC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4" w:type="dxa"/>
          </w:tcPr>
          <w:p w14:paraId="4C790A4D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</w:tr>
      <w:tr w:rsidR="00B02862" w:rsidRPr="00B02862" w14:paraId="04FEDBC9" w14:textId="77777777" w:rsidTr="00B02862">
        <w:tc>
          <w:tcPr>
            <w:tcW w:w="803" w:type="dxa"/>
          </w:tcPr>
          <w:p w14:paraId="7149D588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3248" w:type="dxa"/>
            <w:gridSpan w:val="4"/>
            <w:shd w:val="clear" w:color="auto" w:fill="EFA400"/>
          </w:tcPr>
          <w:p w14:paraId="09DB01B3" w14:textId="0354D5EF" w:rsidR="00B02862" w:rsidRPr="00B02862" w:rsidRDefault="00B02862" w:rsidP="00074704">
            <w:pPr>
              <w:rPr>
                <w:sz w:val="20"/>
                <w:lang w:val="es-ES_tradnl"/>
              </w:rPr>
            </w:pPr>
            <w:r w:rsidRPr="00B02862">
              <w:rPr>
                <w:sz w:val="20"/>
                <w:lang w:val="es-ES_tradnl"/>
              </w:rPr>
              <w:t>Desarrollo de prototipo</w:t>
            </w:r>
          </w:p>
        </w:tc>
        <w:tc>
          <w:tcPr>
            <w:tcW w:w="804" w:type="dxa"/>
          </w:tcPr>
          <w:p w14:paraId="31DCF710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</w:tr>
      <w:tr w:rsidR="00B02862" w:rsidRPr="00B02862" w14:paraId="2C904796" w14:textId="77777777" w:rsidTr="00B02862">
        <w:tc>
          <w:tcPr>
            <w:tcW w:w="803" w:type="dxa"/>
          </w:tcPr>
          <w:p w14:paraId="377FB99B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38" w:type="dxa"/>
          </w:tcPr>
          <w:p w14:paraId="3A002E66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803" w:type="dxa"/>
          </w:tcPr>
          <w:p w14:paraId="3400D6A6" w14:textId="77777777" w:rsidR="00B02862" w:rsidRPr="00B02862" w:rsidRDefault="00B02862" w:rsidP="00074704">
            <w:pPr>
              <w:rPr>
                <w:sz w:val="20"/>
                <w:lang w:val="es-ES_tradnl"/>
              </w:rPr>
            </w:pPr>
          </w:p>
        </w:tc>
        <w:tc>
          <w:tcPr>
            <w:tcW w:w="2411" w:type="dxa"/>
            <w:gridSpan w:val="3"/>
            <w:shd w:val="clear" w:color="auto" w:fill="0048EF"/>
          </w:tcPr>
          <w:p w14:paraId="2171F9FE" w14:textId="4A80F916" w:rsidR="00B02862" w:rsidRPr="00B02862" w:rsidRDefault="00B02862" w:rsidP="00074704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Redacción del Trabajo</w:t>
            </w:r>
          </w:p>
        </w:tc>
      </w:tr>
    </w:tbl>
    <w:p w14:paraId="4E4B2721" w14:textId="50742C63" w:rsidR="008B197E" w:rsidRPr="007E291B" w:rsidRDefault="0046254C">
      <w:pPr>
        <w:pStyle w:val="Heading1"/>
        <w:spacing w:before="120"/>
        <w:rPr>
          <w:lang w:val="es-ES_tradnl"/>
        </w:rPr>
      </w:pPr>
      <w:r w:rsidRPr="007E291B">
        <w:rPr>
          <w:lang w:val="es-ES_tradnl"/>
        </w:rPr>
        <w:t>BIBLIOGRAFIA</w:t>
      </w:r>
    </w:p>
    <w:p w14:paraId="6012C79F" w14:textId="7F5858B6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>Deleuze</w:t>
      </w:r>
      <w:r w:rsidR="00675E2E">
        <w:rPr>
          <w:rFonts w:ascii="Times" w:hAnsi="Times"/>
          <w:sz w:val="20"/>
          <w:lang w:val="es-ES_tradnl" w:eastAsia="es-ES"/>
        </w:rPr>
        <w:t>,</w:t>
      </w:r>
      <w:r w:rsidR="00675E2E" w:rsidRPr="00675E2E">
        <w:rPr>
          <w:rFonts w:ascii="Times" w:hAnsi="Times"/>
          <w:sz w:val="20"/>
          <w:lang w:val="es-ES_tradnl" w:eastAsia="es-ES"/>
        </w:rPr>
        <w:t xml:space="preserve"> </w:t>
      </w:r>
      <w:r w:rsidR="00675E2E" w:rsidRPr="007A7374">
        <w:rPr>
          <w:rFonts w:ascii="Times" w:hAnsi="Times"/>
          <w:sz w:val="20"/>
          <w:lang w:val="es-ES_tradnl" w:eastAsia="es-ES"/>
        </w:rPr>
        <w:t>Gilles</w:t>
      </w:r>
      <w:r w:rsidRPr="007A7374">
        <w:rPr>
          <w:rFonts w:ascii="Times" w:hAnsi="Times"/>
          <w:sz w:val="20"/>
          <w:lang w:val="es-ES_tradnl" w:eastAsia="es-ES"/>
        </w:rPr>
        <w:t xml:space="preserve">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Conversaciones</w:t>
      </w:r>
      <w:r w:rsidRPr="007A7374">
        <w:rPr>
          <w:rFonts w:ascii="Times" w:hAnsi="Times"/>
          <w:sz w:val="20"/>
          <w:lang w:val="es-ES_tradnl" w:eastAsia="es-ES"/>
        </w:rPr>
        <w:t>. Pre-Textos, 2006.</w:t>
      </w:r>
    </w:p>
    <w:p w14:paraId="32120963" w14:textId="7CA73A85" w:rsid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>Bentham</w:t>
      </w:r>
      <w:r w:rsidR="00675E2E">
        <w:rPr>
          <w:rFonts w:ascii="Times" w:hAnsi="Times"/>
          <w:sz w:val="20"/>
          <w:lang w:val="es-ES_tradnl" w:eastAsia="es-ES"/>
        </w:rPr>
        <w:t>,</w:t>
      </w:r>
      <w:r w:rsidR="00675E2E" w:rsidRPr="00675E2E">
        <w:rPr>
          <w:rFonts w:ascii="Times" w:hAnsi="Times"/>
          <w:sz w:val="20"/>
          <w:lang w:val="es-ES_tradnl" w:eastAsia="es-ES"/>
        </w:rPr>
        <w:t xml:space="preserve"> </w:t>
      </w:r>
      <w:r w:rsidR="00675E2E" w:rsidRPr="007A7374">
        <w:rPr>
          <w:rFonts w:ascii="Times" w:hAnsi="Times"/>
          <w:sz w:val="20"/>
          <w:lang w:val="es-ES_tradnl" w:eastAsia="es-ES"/>
        </w:rPr>
        <w:t>Jeremy.</w:t>
      </w:r>
      <w:r w:rsidRPr="007A7374">
        <w:rPr>
          <w:rFonts w:ascii="Times" w:hAnsi="Times"/>
          <w:sz w:val="20"/>
          <w:lang w:val="es-ES_tradnl" w:eastAsia="es-ES"/>
        </w:rPr>
        <w:t xml:space="preserve"> </w:t>
      </w:r>
      <w:r w:rsidRPr="007A7374">
        <w:rPr>
          <w:rFonts w:ascii="Times" w:hAnsi="Times"/>
          <w:i/>
          <w:iCs/>
          <w:sz w:val="20"/>
          <w:lang w:val="es-ES_tradnl" w:eastAsia="es-ES"/>
        </w:rPr>
        <w:t>El Panóptico</w:t>
      </w:r>
      <w:r w:rsidRPr="007A7374">
        <w:rPr>
          <w:rFonts w:ascii="Times" w:hAnsi="Times"/>
          <w:sz w:val="20"/>
          <w:lang w:val="es-ES_tradnl" w:eastAsia="es-ES"/>
        </w:rPr>
        <w:t>. La Piqueta, 1989.</w:t>
      </w:r>
    </w:p>
    <w:p w14:paraId="082E334D" w14:textId="77777777" w:rsid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 xml:space="preserve">Rifkin, Jeremy.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La era del acceso: La revolución de la nueva economía</w:t>
      </w:r>
      <w:r w:rsidRPr="007A7374">
        <w:rPr>
          <w:rFonts w:ascii="Times" w:hAnsi="Times"/>
          <w:sz w:val="20"/>
          <w:lang w:val="es-ES_tradnl" w:eastAsia="es-ES"/>
        </w:rPr>
        <w:t>. Editorial Paidós, 2000.</w:t>
      </w:r>
    </w:p>
    <w:p w14:paraId="54119C3D" w14:textId="77777777" w:rsidR="007A7374" w:rsidRPr="007A7374" w:rsidRDefault="007A7374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7A7374">
        <w:rPr>
          <w:rFonts w:ascii="Times" w:hAnsi="Times"/>
          <w:sz w:val="20"/>
          <w:lang w:val="es-ES_tradnl" w:eastAsia="es-ES"/>
        </w:rPr>
        <w:t xml:space="preserve">Brea, José Luis. </w:t>
      </w:r>
      <w:r w:rsidRPr="007A7374">
        <w:rPr>
          <w:rFonts w:ascii="Times" w:hAnsi="Times"/>
          <w:i/>
          <w:iCs/>
          <w:sz w:val="20"/>
          <w:lang w:val="es-ES_tradnl" w:eastAsia="es-ES"/>
        </w:rPr>
        <w:t>Las Tres Eras de la Imagen</w:t>
      </w:r>
      <w:r w:rsidRPr="007A7374">
        <w:rPr>
          <w:rFonts w:ascii="Times" w:hAnsi="Times"/>
          <w:sz w:val="20"/>
          <w:lang w:val="es-ES_tradnl" w:eastAsia="es-ES"/>
        </w:rPr>
        <w:t>. Ediciones AKAL, 2010.</w:t>
      </w:r>
    </w:p>
    <w:p w14:paraId="49114AC4" w14:textId="77777777" w:rsidR="00A31BE2" w:rsidRDefault="00A31BE2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>Foucault, Michel. «Espacios otros: utopías y heterotopías», s. f.</w:t>
      </w:r>
    </w:p>
    <w:p w14:paraId="0812509D" w14:textId="0DACC884" w:rsidR="00A31BE2" w:rsidRPr="00A31BE2" w:rsidRDefault="00A31BE2" w:rsidP="00675E2E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>F</w:t>
      </w:r>
      <w:r w:rsidR="00675E2E">
        <w:rPr>
          <w:rFonts w:ascii="Times" w:hAnsi="Times"/>
          <w:sz w:val="20"/>
          <w:lang w:val="es-ES_tradnl" w:eastAsia="es-ES"/>
        </w:rPr>
        <w:t>oucalut</w:t>
      </w:r>
      <w:r w:rsidRPr="00A31BE2">
        <w:rPr>
          <w:rFonts w:ascii="Times" w:hAnsi="Times"/>
          <w:sz w:val="20"/>
          <w:lang w:val="es-ES_tradnl" w:eastAsia="es-ES"/>
        </w:rPr>
        <w:t xml:space="preserve">, </w:t>
      </w:r>
      <w:r w:rsidR="00675E2E">
        <w:rPr>
          <w:rFonts w:ascii="Times" w:hAnsi="Times"/>
          <w:sz w:val="20"/>
          <w:lang w:val="es-ES_tradnl" w:eastAsia="es-ES"/>
        </w:rPr>
        <w:t>Michel</w:t>
      </w:r>
      <w:r w:rsidRPr="00A31BE2">
        <w:rPr>
          <w:rFonts w:ascii="Times" w:hAnsi="Times"/>
          <w:sz w:val="20"/>
          <w:lang w:val="es-ES_tradnl" w:eastAsia="es-ES"/>
        </w:rPr>
        <w:t xml:space="preserve">. </w:t>
      </w:r>
      <w:r w:rsidRPr="00A31BE2">
        <w:rPr>
          <w:rFonts w:ascii="Times" w:hAnsi="Times"/>
          <w:i/>
          <w:iCs/>
          <w:sz w:val="20"/>
          <w:lang w:val="es-ES_tradnl" w:eastAsia="es-ES"/>
        </w:rPr>
        <w:t>Vigilar y Castigar: Nacimiento de la Prisión</w:t>
      </w:r>
      <w:r w:rsidRPr="00A31BE2">
        <w:rPr>
          <w:rFonts w:ascii="Times" w:hAnsi="Times"/>
          <w:sz w:val="20"/>
          <w:lang w:val="es-ES_tradnl" w:eastAsia="es-ES"/>
        </w:rPr>
        <w:t>. Siglo XXI, 2004.</w:t>
      </w:r>
    </w:p>
    <w:p w14:paraId="1B55CC9F" w14:textId="564746AB" w:rsidR="00A31BE2" w:rsidRPr="00A31BE2" w:rsidRDefault="00675E2E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D95243">
        <w:rPr>
          <w:rFonts w:ascii="Times" w:hAnsi="Times"/>
          <w:sz w:val="20"/>
          <w:highlight w:val="red"/>
          <w:lang w:val="es-ES_tradnl" w:eastAsia="es-ES"/>
        </w:rPr>
        <w:t xml:space="preserve">Deleuze, Gilles. </w:t>
      </w:r>
      <w:r w:rsidRPr="00D95243">
        <w:rPr>
          <w:rFonts w:ascii="Times" w:hAnsi="Times"/>
          <w:i/>
          <w:iCs/>
          <w:sz w:val="20"/>
          <w:highlight w:val="red"/>
          <w:lang w:val="es-ES_tradnl" w:eastAsia="es-ES"/>
        </w:rPr>
        <w:t>Conversaciones</w:t>
      </w:r>
      <w:r w:rsidRPr="00D95243">
        <w:rPr>
          <w:rFonts w:ascii="Times" w:hAnsi="Times"/>
          <w:sz w:val="20"/>
          <w:highlight w:val="red"/>
          <w:lang w:val="es-ES_tradnl" w:eastAsia="es-ES"/>
        </w:rPr>
        <w:t>. Pre-Textos, 2006.</w:t>
      </w:r>
    </w:p>
    <w:p w14:paraId="451D97CF" w14:textId="77777777" w:rsidR="00A31BE2" w:rsidRPr="00A31BE2" w:rsidRDefault="00A31BE2" w:rsidP="00A31BE2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A31BE2">
        <w:rPr>
          <w:rFonts w:ascii="Times" w:hAnsi="Times"/>
          <w:sz w:val="20"/>
          <w:lang w:val="es-ES_tradnl" w:eastAsia="es-ES"/>
        </w:rPr>
        <w:t xml:space="preserve">Klein, Naomi. </w:t>
      </w:r>
      <w:r w:rsidRPr="00A31BE2">
        <w:rPr>
          <w:rFonts w:ascii="Times" w:hAnsi="Times"/>
          <w:i/>
          <w:iCs/>
          <w:sz w:val="20"/>
          <w:lang w:val="es-ES_tradnl" w:eastAsia="es-ES"/>
        </w:rPr>
        <w:t>La doctrina del shock: El auge del capitalismo del desastre</w:t>
      </w:r>
      <w:r w:rsidRPr="00A31BE2">
        <w:rPr>
          <w:rFonts w:ascii="Times" w:hAnsi="Times"/>
          <w:sz w:val="20"/>
          <w:lang w:val="es-ES_tradnl" w:eastAsia="es-ES"/>
        </w:rPr>
        <w:t>. Editorial Paidós, 2010.</w:t>
      </w:r>
    </w:p>
    <w:p w14:paraId="39CD050E" w14:textId="77777777" w:rsidR="00E57B66" w:rsidRPr="00E57B66" w:rsidRDefault="00E57B66" w:rsidP="00E57B66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E57B66">
        <w:rPr>
          <w:rFonts w:ascii="Times" w:hAnsi="Times"/>
          <w:sz w:val="20"/>
          <w:lang w:val="es-ES_tradnl" w:eastAsia="es-ES"/>
        </w:rPr>
        <w:t>Hakim Bey. «Zona Temporalmente Autónoma», s. f. http://www.merzmail.net/zona.htm.</w:t>
      </w:r>
    </w:p>
    <w:p w14:paraId="5F150CEC" w14:textId="77777777" w:rsidR="00E57B66" w:rsidRPr="00E57B66" w:rsidRDefault="00E57B66" w:rsidP="00E57B66">
      <w:pPr>
        <w:spacing w:after="0"/>
        <w:jc w:val="left"/>
        <w:rPr>
          <w:rFonts w:ascii="Times" w:hAnsi="Times"/>
          <w:sz w:val="20"/>
          <w:lang w:val="es-ES_tradnl" w:eastAsia="es-ES"/>
        </w:rPr>
      </w:pPr>
      <w:r w:rsidRPr="00E57B66">
        <w:rPr>
          <w:rFonts w:ascii="Times" w:hAnsi="Times"/>
          <w:sz w:val="20"/>
          <w:lang w:val="es-ES_tradnl" w:eastAsia="es-ES"/>
        </w:rPr>
        <w:t>Hakim Bey. «Carta a Valencia», s. f. http://biblioweb.sindominio.net/telematica/hakim-valencia.html.</w:t>
      </w:r>
    </w:p>
    <w:p w14:paraId="6F72C9C4" w14:textId="77777777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</w:p>
    <w:p w14:paraId="78FEEAAF" w14:textId="77777777" w:rsidR="007A7374" w:rsidRPr="007A7374" w:rsidRDefault="007A7374" w:rsidP="007A7374">
      <w:pPr>
        <w:spacing w:after="0"/>
        <w:jc w:val="left"/>
        <w:rPr>
          <w:rFonts w:ascii="Times" w:hAnsi="Times"/>
          <w:sz w:val="20"/>
          <w:lang w:val="es-ES_tradnl" w:eastAsia="es-ES"/>
        </w:rPr>
      </w:pPr>
    </w:p>
    <w:p w14:paraId="0713B094" w14:textId="1969C6FB" w:rsidR="00B74F2D" w:rsidRPr="00B74F2D" w:rsidRDefault="00B74F2D" w:rsidP="00B74F2D">
      <w:pPr>
        <w:rPr>
          <w:color w:val="008000"/>
          <w:szCs w:val="18"/>
          <w:lang w:val="es-ES_tradnl"/>
        </w:rPr>
      </w:pPr>
      <w:r>
        <w:rPr>
          <w:color w:val="008000"/>
          <w:szCs w:val="18"/>
          <w:lang w:val="es-ES_tradnl"/>
        </w:rPr>
        <w:t xml:space="preserve">Vale la pena que reserves tiempo para hacer bien el proyecto, el </w:t>
      </w:r>
      <w:proofErr w:type="spellStart"/>
      <w:r>
        <w:rPr>
          <w:color w:val="008000"/>
          <w:szCs w:val="18"/>
          <w:lang w:val="es-ES_tradnl"/>
        </w:rPr>
        <w:t>paper</w:t>
      </w:r>
      <w:proofErr w:type="spellEnd"/>
      <w:r>
        <w:rPr>
          <w:color w:val="008000"/>
          <w:szCs w:val="18"/>
          <w:lang w:val="es-ES_tradnl"/>
        </w:rPr>
        <w:t xml:space="preserve"> está claro pero es muy </w:t>
      </w:r>
      <w:proofErr w:type="spellStart"/>
      <w:r>
        <w:rPr>
          <w:color w:val="008000"/>
          <w:szCs w:val="18"/>
          <w:lang w:val="es-ES_tradnl"/>
        </w:rPr>
        <w:t>muy</w:t>
      </w:r>
      <w:proofErr w:type="spellEnd"/>
      <w:r>
        <w:rPr>
          <w:color w:val="008000"/>
          <w:szCs w:val="18"/>
          <w:lang w:val="es-ES_tradnl"/>
        </w:rPr>
        <w:t xml:space="preserve"> sintético</w:t>
      </w:r>
      <w:r>
        <w:rPr>
          <w:color w:val="008000"/>
          <w:szCs w:val="18"/>
          <w:lang w:val="es-ES_tradnl"/>
        </w:rPr>
        <w:t>, demasiado.</w:t>
      </w:r>
    </w:p>
    <w:p w14:paraId="1C2AD409" w14:textId="77777777" w:rsidR="008B197E" w:rsidRPr="007E291B" w:rsidRDefault="008B197E" w:rsidP="00FD23D2">
      <w:pPr>
        <w:pStyle w:val="Paper-Title"/>
        <w:jc w:val="both"/>
        <w:rPr>
          <w:lang w:val="es-ES_tradnl"/>
        </w:rPr>
      </w:pPr>
      <w:bookmarkStart w:id="0" w:name="_GoBack"/>
      <w:bookmarkEnd w:id="0"/>
    </w:p>
    <w:sectPr w:rsidR="008B197E" w:rsidRPr="007E291B" w:rsidSect="00755DE1">
      <w:type w:val="continuous"/>
      <w:pgSz w:w="12240" w:h="15840" w:code="1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B4242" w14:textId="77777777" w:rsidR="003567D8" w:rsidRDefault="003567D8">
      <w:r>
        <w:separator/>
      </w:r>
    </w:p>
  </w:endnote>
  <w:endnote w:type="continuationSeparator" w:id="0">
    <w:p w14:paraId="6E724038" w14:textId="77777777" w:rsidR="003567D8" w:rsidRDefault="003567D8">
      <w:r>
        <w:continuationSeparator/>
      </w:r>
    </w:p>
  </w:endnote>
  <w:endnote w:id="1">
    <w:p w14:paraId="4802FEC6" w14:textId="4A29BEFE" w:rsidR="003567D8" w:rsidRPr="00984A4E" w:rsidRDefault="003567D8">
      <w:pPr>
        <w:pStyle w:val="EndnoteText"/>
        <w:rPr>
          <w:sz w:val="16"/>
          <w:szCs w:val="16"/>
          <w:lang w:val="es-ES_tradnl"/>
        </w:rPr>
      </w:pPr>
      <w:r w:rsidRPr="00984A4E">
        <w:rPr>
          <w:rStyle w:val="EndnoteReference"/>
          <w:sz w:val="16"/>
          <w:szCs w:val="16"/>
        </w:rPr>
        <w:endnoteRef/>
      </w:r>
      <w:r w:rsidRPr="00984A4E">
        <w:rPr>
          <w:sz w:val="16"/>
          <w:szCs w:val="16"/>
        </w:rPr>
        <w:t xml:space="preserve"> </w:t>
      </w:r>
      <w:r w:rsidRPr="00984A4E">
        <w:rPr>
          <w:sz w:val="16"/>
          <w:szCs w:val="16"/>
          <w:lang w:val="es-ES_tradnl"/>
        </w:rPr>
        <w:t>En este sentido el trabajo se ha ido modificando desde su inicio cuando se pensaba en impedir el acceso de aparatos, a su estado actual que consiste en bloquear o interferir en el funcionamiento de los aparatos de registro.</w:t>
      </w:r>
    </w:p>
  </w:endnote>
  <w:endnote w:id="2">
    <w:p w14:paraId="5F22A383" w14:textId="62DA18B2" w:rsidR="003567D8" w:rsidRPr="00101283" w:rsidRDefault="003567D8">
      <w:pPr>
        <w:pStyle w:val="EndnoteText"/>
        <w:rPr>
          <w:sz w:val="16"/>
          <w:szCs w:val="16"/>
          <w:lang w:val="es-ES_tradnl"/>
        </w:rPr>
      </w:pPr>
      <w:r w:rsidRPr="00101283">
        <w:rPr>
          <w:rStyle w:val="EndnoteReference"/>
          <w:sz w:val="16"/>
          <w:szCs w:val="16"/>
        </w:rPr>
        <w:endnoteRef/>
      </w:r>
      <w:r w:rsidRPr="00101283">
        <w:rPr>
          <w:sz w:val="16"/>
          <w:szCs w:val="16"/>
        </w:rPr>
        <w:t xml:space="preserve"> </w:t>
      </w:r>
      <w:r>
        <w:rPr>
          <w:sz w:val="16"/>
          <w:szCs w:val="16"/>
        </w:rPr>
        <w:t>Michel Foucault</w:t>
      </w:r>
      <w:r w:rsidRPr="00101283">
        <w:rPr>
          <w:sz w:val="16"/>
          <w:szCs w:val="16"/>
        </w:rPr>
        <w:t>. Vigilar y castigar: nacimiento de la prisión. Siglo XXI, 2005, pág. 204</w:t>
      </w:r>
    </w:p>
  </w:endnote>
  <w:endnote w:id="3">
    <w:p w14:paraId="762742B0" w14:textId="31C0E23C" w:rsidR="00A850DF" w:rsidRPr="00A850DF" w:rsidRDefault="00A850DF">
      <w:pPr>
        <w:pStyle w:val="EndnoteText"/>
        <w:rPr>
          <w:sz w:val="16"/>
          <w:szCs w:val="16"/>
          <w:lang w:val="es-ES_tradnl"/>
        </w:rPr>
      </w:pPr>
      <w:r w:rsidRPr="00A850DF">
        <w:rPr>
          <w:rStyle w:val="EndnoteReference"/>
          <w:sz w:val="16"/>
          <w:szCs w:val="16"/>
        </w:rPr>
        <w:endnoteRef/>
      </w:r>
      <w:r w:rsidRPr="00A850DF">
        <w:rPr>
          <w:sz w:val="16"/>
          <w:szCs w:val="16"/>
        </w:rPr>
        <w:t xml:space="preserve"> </w:t>
      </w:r>
      <w:r w:rsidRPr="00A850DF">
        <w:rPr>
          <w:sz w:val="16"/>
          <w:szCs w:val="16"/>
          <w:lang w:val="es-ES_tradnl"/>
        </w:rPr>
        <w:t>Hakim Bey. Zona Temporalmente Autónoma [Internet]. Recuperado de: http://www.merzmail.net/zona.htm</w:t>
      </w:r>
    </w:p>
  </w:endnote>
  <w:endnote w:id="4">
    <w:p w14:paraId="005E4F02" w14:textId="5412A167" w:rsidR="004949C1" w:rsidRPr="004949C1" w:rsidRDefault="004949C1">
      <w:pPr>
        <w:pStyle w:val="EndnoteText"/>
        <w:rPr>
          <w:sz w:val="16"/>
          <w:szCs w:val="16"/>
          <w:lang w:val="es-ES_tradnl"/>
        </w:rPr>
      </w:pPr>
      <w:r w:rsidRPr="004949C1">
        <w:rPr>
          <w:rStyle w:val="EndnoteReference"/>
          <w:sz w:val="16"/>
          <w:szCs w:val="16"/>
        </w:rPr>
        <w:endnoteRef/>
      </w:r>
      <w:r w:rsidRPr="004949C1">
        <w:rPr>
          <w:sz w:val="16"/>
          <w:szCs w:val="16"/>
        </w:rPr>
        <w:t xml:space="preserve"> Michel Foucault. Vigilar y castigar: nacimiento de la pr</w:t>
      </w:r>
      <w:r>
        <w:rPr>
          <w:sz w:val="16"/>
          <w:szCs w:val="16"/>
        </w:rPr>
        <w:t>isión. Siglo XXI, 2005, pág. 206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riam">
    <w:charset w:val="B1"/>
    <w:family w:val="auto"/>
    <w:pitch w:val="variable"/>
    <w:sig w:usb0="00001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A609" w14:textId="77777777" w:rsidR="003567D8" w:rsidRDefault="003567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09B42" w14:textId="77777777" w:rsidR="003567D8" w:rsidRDefault="003567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85384" w14:textId="77777777" w:rsidR="003567D8" w:rsidRDefault="003567D8">
      <w:r>
        <w:separator/>
      </w:r>
    </w:p>
  </w:footnote>
  <w:footnote w:type="continuationSeparator" w:id="0">
    <w:p w14:paraId="63810DD3" w14:textId="77777777" w:rsidR="003567D8" w:rsidRDefault="00356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6FE7B0E"/>
    <w:multiLevelType w:val="multilevel"/>
    <w:tmpl w:val="1EA06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4">
    <w:nsid w:val="760270EF"/>
    <w:multiLevelType w:val="hybridMultilevel"/>
    <w:tmpl w:val="24E6C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CF"/>
    <w:rsid w:val="00001245"/>
    <w:rsid w:val="00010D37"/>
    <w:rsid w:val="0001155B"/>
    <w:rsid w:val="00016EEA"/>
    <w:rsid w:val="000226BF"/>
    <w:rsid w:val="0003269D"/>
    <w:rsid w:val="000355F6"/>
    <w:rsid w:val="00036CEB"/>
    <w:rsid w:val="00052A53"/>
    <w:rsid w:val="00071A4F"/>
    <w:rsid w:val="00074704"/>
    <w:rsid w:val="0007493E"/>
    <w:rsid w:val="00077AEC"/>
    <w:rsid w:val="000803DE"/>
    <w:rsid w:val="00080A3B"/>
    <w:rsid w:val="000822F7"/>
    <w:rsid w:val="00084A4B"/>
    <w:rsid w:val="000868EB"/>
    <w:rsid w:val="0009634A"/>
    <w:rsid w:val="00097260"/>
    <w:rsid w:val="000978EC"/>
    <w:rsid w:val="000D7BC9"/>
    <w:rsid w:val="000E0A9E"/>
    <w:rsid w:val="000E1DD2"/>
    <w:rsid w:val="000E5D6D"/>
    <w:rsid w:val="00100D53"/>
    <w:rsid w:val="00101283"/>
    <w:rsid w:val="001042B6"/>
    <w:rsid w:val="00125418"/>
    <w:rsid w:val="001329FD"/>
    <w:rsid w:val="00134BBB"/>
    <w:rsid w:val="00156682"/>
    <w:rsid w:val="00163771"/>
    <w:rsid w:val="00165F03"/>
    <w:rsid w:val="00172159"/>
    <w:rsid w:val="00173074"/>
    <w:rsid w:val="0018087D"/>
    <w:rsid w:val="001808EC"/>
    <w:rsid w:val="00181837"/>
    <w:rsid w:val="001833AE"/>
    <w:rsid w:val="00184229"/>
    <w:rsid w:val="001846AA"/>
    <w:rsid w:val="0019286F"/>
    <w:rsid w:val="001A0201"/>
    <w:rsid w:val="001B0A3B"/>
    <w:rsid w:val="001B2461"/>
    <w:rsid w:val="001B2E7F"/>
    <w:rsid w:val="001B415F"/>
    <w:rsid w:val="001B590B"/>
    <w:rsid w:val="001C01F9"/>
    <w:rsid w:val="001C5BF9"/>
    <w:rsid w:val="001C6B75"/>
    <w:rsid w:val="001D18EE"/>
    <w:rsid w:val="001D4DDE"/>
    <w:rsid w:val="001E386E"/>
    <w:rsid w:val="001E598C"/>
    <w:rsid w:val="001E73B7"/>
    <w:rsid w:val="001F1A09"/>
    <w:rsid w:val="001F4258"/>
    <w:rsid w:val="00200145"/>
    <w:rsid w:val="002042B9"/>
    <w:rsid w:val="00215A0E"/>
    <w:rsid w:val="002211F5"/>
    <w:rsid w:val="00235CBD"/>
    <w:rsid w:val="002421FE"/>
    <w:rsid w:val="00263B17"/>
    <w:rsid w:val="002709F2"/>
    <w:rsid w:val="0027350C"/>
    <w:rsid w:val="00275593"/>
    <w:rsid w:val="00281949"/>
    <w:rsid w:val="002829AC"/>
    <w:rsid w:val="00286771"/>
    <w:rsid w:val="002A24CB"/>
    <w:rsid w:val="002B046B"/>
    <w:rsid w:val="002D122A"/>
    <w:rsid w:val="002D6A57"/>
    <w:rsid w:val="002E6C99"/>
    <w:rsid w:val="002F1C41"/>
    <w:rsid w:val="002F7385"/>
    <w:rsid w:val="00316989"/>
    <w:rsid w:val="00322A11"/>
    <w:rsid w:val="00322AA6"/>
    <w:rsid w:val="00323791"/>
    <w:rsid w:val="0032746F"/>
    <w:rsid w:val="00344E6F"/>
    <w:rsid w:val="0035162F"/>
    <w:rsid w:val="003567D8"/>
    <w:rsid w:val="00357236"/>
    <w:rsid w:val="00360084"/>
    <w:rsid w:val="0036108F"/>
    <w:rsid w:val="00363E09"/>
    <w:rsid w:val="00370625"/>
    <w:rsid w:val="00370DDC"/>
    <w:rsid w:val="00371366"/>
    <w:rsid w:val="00394533"/>
    <w:rsid w:val="003A2C8E"/>
    <w:rsid w:val="003A4DA0"/>
    <w:rsid w:val="003C21BD"/>
    <w:rsid w:val="003D3F81"/>
    <w:rsid w:val="003E2772"/>
    <w:rsid w:val="003F161C"/>
    <w:rsid w:val="003F70A0"/>
    <w:rsid w:val="00421590"/>
    <w:rsid w:val="0042174F"/>
    <w:rsid w:val="00421BAC"/>
    <w:rsid w:val="004268DD"/>
    <w:rsid w:val="00432177"/>
    <w:rsid w:val="00434F25"/>
    <w:rsid w:val="00435A6B"/>
    <w:rsid w:val="00435E26"/>
    <w:rsid w:val="004360EE"/>
    <w:rsid w:val="00451AFB"/>
    <w:rsid w:val="0046254C"/>
    <w:rsid w:val="00466FF4"/>
    <w:rsid w:val="00474255"/>
    <w:rsid w:val="004949C1"/>
    <w:rsid w:val="004A31DF"/>
    <w:rsid w:val="004A715A"/>
    <w:rsid w:val="004B7516"/>
    <w:rsid w:val="00501791"/>
    <w:rsid w:val="00516417"/>
    <w:rsid w:val="00517655"/>
    <w:rsid w:val="00523BB4"/>
    <w:rsid w:val="00530610"/>
    <w:rsid w:val="00534DEB"/>
    <w:rsid w:val="00536BD9"/>
    <w:rsid w:val="0054516E"/>
    <w:rsid w:val="005532EF"/>
    <w:rsid w:val="00561C5A"/>
    <w:rsid w:val="0056371F"/>
    <w:rsid w:val="00565698"/>
    <w:rsid w:val="00592F19"/>
    <w:rsid w:val="005A1497"/>
    <w:rsid w:val="005A7AD5"/>
    <w:rsid w:val="005C7643"/>
    <w:rsid w:val="005C7D12"/>
    <w:rsid w:val="005D0E63"/>
    <w:rsid w:val="005D3989"/>
    <w:rsid w:val="005D5E25"/>
    <w:rsid w:val="005D7DF3"/>
    <w:rsid w:val="005E2D85"/>
    <w:rsid w:val="005F2281"/>
    <w:rsid w:val="0061710B"/>
    <w:rsid w:val="00621C38"/>
    <w:rsid w:val="00623C2C"/>
    <w:rsid w:val="006246E7"/>
    <w:rsid w:val="006279F6"/>
    <w:rsid w:val="00636860"/>
    <w:rsid w:val="00641311"/>
    <w:rsid w:val="00662D19"/>
    <w:rsid w:val="006709F7"/>
    <w:rsid w:val="00671EBC"/>
    <w:rsid w:val="00675E2E"/>
    <w:rsid w:val="0068547D"/>
    <w:rsid w:val="00690854"/>
    <w:rsid w:val="006A044B"/>
    <w:rsid w:val="006C282E"/>
    <w:rsid w:val="006C5D96"/>
    <w:rsid w:val="006D451E"/>
    <w:rsid w:val="006E407E"/>
    <w:rsid w:val="006F3076"/>
    <w:rsid w:val="00710E2F"/>
    <w:rsid w:val="00720B13"/>
    <w:rsid w:val="0073639B"/>
    <w:rsid w:val="00744DFE"/>
    <w:rsid w:val="00746EB1"/>
    <w:rsid w:val="00751AF4"/>
    <w:rsid w:val="00755DE1"/>
    <w:rsid w:val="00773EA9"/>
    <w:rsid w:val="00781464"/>
    <w:rsid w:val="00781FFF"/>
    <w:rsid w:val="007820F0"/>
    <w:rsid w:val="007905D4"/>
    <w:rsid w:val="0079097E"/>
    <w:rsid w:val="00793A7F"/>
    <w:rsid w:val="00793DF2"/>
    <w:rsid w:val="00795CFD"/>
    <w:rsid w:val="00796318"/>
    <w:rsid w:val="00797102"/>
    <w:rsid w:val="007A1740"/>
    <w:rsid w:val="007A7374"/>
    <w:rsid w:val="007B1A74"/>
    <w:rsid w:val="007B5138"/>
    <w:rsid w:val="007C08CF"/>
    <w:rsid w:val="007C10A8"/>
    <w:rsid w:val="007C1B83"/>
    <w:rsid w:val="007C3600"/>
    <w:rsid w:val="007C4E4C"/>
    <w:rsid w:val="007D0AA4"/>
    <w:rsid w:val="007D3CCB"/>
    <w:rsid w:val="007D6325"/>
    <w:rsid w:val="007E291B"/>
    <w:rsid w:val="007E71F7"/>
    <w:rsid w:val="007F3034"/>
    <w:rsid w:val="0080614F"/>
    <w:rsid w:val="00820E93"/>
    <w:rsid w:val="00833DEC"/>
    <w:rsid w:val="008441DC"/>
    <w:rsid w:val="00846233"/>
    <w:rsid w:val="00847363"/>
    <w:rsid w:val="00857E99"/>
    <w:rsid w:val="008665F9"/>
    <w:rsid w:val="008716A1"/>
    <w:rsid w:val="00872916"/>
    <w:rsid w:val="0087467E"/>
    <w:rsid w:val="00874FD6"/>
    <w:rsid w:val="008946D1"/>
    <w:rsid w:val="008A311F"/>
    <w:rsid w:val="008A6DA5"/>
    <w:rsid w:val="008B041F"/>
    <w:rsid w:val="008B0A5F"/>
    <w:rsid w:val="008B197E"/>
    <w:rsid w:val="008C1D4E"/>
    <w:rsid w:val="008C1E8C"/>
    <w:rsid w:val="008C42BC"/>
    <w:rsid w:val="008D1B52"/>
    <w:rsid w:val="008D40A1"/>
    <w:rsid w:val="008E79CC"/>
    <w:rsid w:val="0090348B"/>
    <w:rsid w:val="00907B23"/>
    <w:rsid w:val="00912327"/>
    <w:rsid w:val="00917DC2"/>
    <w:rsid w:val="0092080A"/>
    <w:rsid w:val="009242E4"/>
    <w:rsid w:val="00932C9E"/>
    <w:rsid w:val="0094335C"/>
    <w:rsid w:val="00944D0A"/>
    <w:rsid w:val="00945FE6"/>
    <w:rsid w:val="00947C3C"/>
    <w:rsid w:val="00953350"/>
    <w:rsid w:val="00960660"/>
    <w:rsid w:val="009615A4"/>
    <w:rsid w:val="00965462"/>
    <w:rsid w:val="00972698"/>
    <w:rsid w:val="00974402"/>
    <w:rsid w:val="009825BF"/>
    <w:rsid w:val="00984A4E"/>
    <w:rsid w:val="0098747F"/>
    <w:rsid w:val="00994678"/>
    <w:rsid w:val="00994C03"/>
    <w:rsid w:val="00996C80"/>
    <w:rsid w:val="009A1358"/>
    <w:rsid w:val="009A39C5"/>
    <w:rsid w:val="009B2E40"/>
    <w:rsid w:val="009B701B"/>
    <w:rsid w:val="009D1514"/>
    <w:rsid w:val="009D2F79"/>
    <w:rsid w:val="009D7D7C"/>
    <w:rsid w:val="009F1408"/>
    <w:rsid w:val="009F7137"/>
    <w:rsid w:val="00A02972"/>
    <w:rsid w:val="00A227B0"/>
    <w:rsid w:val="00A31BE2"/>
    <w:rsid w:val="00A35D93"/>
    <w:rsid w:val="00A3634A"/>
    <w:rsid w:val="00A4241C"/>
    <w:rsid w:val="00A4424E"/>
    <w:rsid w:val="00A53517"/>
    <w:rsid w:val="00A56BBB"/>
    <w:rsid w:val="00A66E61"/>
    <w:rsid w:val="00A76A83"/>
    <w:rsid w:val="00A850DF"/>
    <w:rsid w:val="00A95D13"/>
    <w:rsid w:val="00A95E84"/>
    <w:rsid w:val="00AA01C0"/>
    <w:rsid w:val="00AA1979"/>
    <w:rsid w:val="00AA6651"/>
    <w:rsid w:val="00AB56AC"/>
    <w:rsid w:val="00AB7D06"/>
    <w:rsid w:val="00AC00FD"/>
    <w:rsid w:val="00AC2B6E"/>
    <w:rsid w:val="00AC4A85"/>
    <w:rsid w:val="00AD33BF"/>
    <w:rsid w:val="00AE2664"/>
    <w:rsid w:val="00AF300A"/>
    <w:rsid w:val="00AF40F3"/>
    <w:rsid w:val="00AF7750"/>
    <w:rsid w:val="00B02862"/>
    <w:rsid w:val="00B0489C"/>
    <w:rsid w:val="00B1321B"/>
    <w:rsid w:val="00B225E5"/>
    <w:rsid w:val="00B42D91"/>
    <w:rsid w:val="00B619C2"/>
    <w:rsid w:val="00B63921"/>
    <w:rsid w:val="00B738DB"/>
    <w:rsid w:val="00B74F2D"/>
    <w:rsid w:val="00B75622"/>
    <w:rsid w:val="00BB0151"/>
    <w:rsid w:val="00BE665C"/>
    <w:rsid w:val="00BF3697"/>
    <w:rsid w:val="00BF6CAA"/>
    <w:rsid w:val="00BF7084"/>
    <w:rsid w:val="00C05364"/>
    <w:rsid w:val="00C1543A"/>
    <w:rsid w:val="00C30ECF"/>
    <w:rsid w:val="00C36749"/>
    <w:rsid w:val="00C4141E"/>
    <w:rsid w:val="00C41A8E"/>
    <w:rsid w:val="00C46565"/>
    <w:rsid w:val="00C4706D"/>
    <w:rsid w:val="00C62173"/>
    <w:rsid w:val="00C62577"/>
    <w:rsid w:val="00C6620F"/>
    <w:rsid w:val="00C70055"/>
    <w:rsid w:val="00C70216"/>
    <w:rsid w:val="00CA040C"/>
    <w:rsid w:val="00CA3BA6"/>
    <w:rsid w:val="00CB4646"/>
    <w:rsid w:val="00CB5AEF"/>
    <w:rsid w:val="00CB728E"/>
    <w:rsid w:val="00CC3A51"/>
    <w:rsid w:val="00CD7EC6"/>
    <w:rsid w:val="00CE271A"/>
    <w:rsid w:val="00CE5632"/>
    <w:rsid w:val="00CF5DAA"/>
    <w:rsid w:val="00D07CCB"/>
    <w:rsid w:val="00D16910"/>
    <w:rsid w:val="00D17682"/>
    <w:rsid w:val="00D24FC1"/>
    <w:rsid w:val="00D263AE"/>
    <w:rsid w:val="00D3292B"/>
    <w:rsid w:val="00D46624"/>
    <w:rsid w:val="00D7152D"/>
    <w:rsid w:val="00D91F93"/>
    <w:rsid w:val="00D9402B"/>
    <w:rsid w:val="00D95243"/>
    <w:rsid w:val="00D95502"/>
    <w:rsid w:val="00DA155F"/>
    <w:rsid w:val="00DA70EA"/>
    <w:rsid w:val="00DB2285"/>
    <w:rsid w:val="00DB272A"/>
    <w:rsid w:val="00DB420B"/>
    <w:rsid w:val="00DB6D38"/>
    <w:rsid w:val="00DD17EB"/>
    <w:rsid w:val="00DD457F"/>
    <w:rsid w:val="00DD5B7B"/>
    <w:rsid w:val="00DE0C78"/>
    <w:rsid w:val="00DE2EDE"/>
    <w:rsid w:val="00DF3C49"/>
    <w:rsid w:val="00DF52AD"/>
    <w:rsid w:val="00E003F4"/>
    <w:rsid w:val="00E02558"/>
    <w:rsid w:val="00E02A5F"/>
    <w:rsid w:val="00E04555"/>
    <w:rsid w:val="00E22FD7"/>
    <w:rsid w:val="00E2356A"/>
    <w:rsid w:val="00E2415E"/>
    <w:rsid w:val="00E2659D"/>
    <w:rsid w:val="00E45405"/>
    <w:rsid w:val="00E53EC4"/>
    <w:rsid w:val="00E5535D"/>
    <w:rsid w:val="00E57B66"/>
    <w:rsid w:val="00E635CF"/>
    <w:rsid w:val="00E64DCC"/>
    <w:rsid w:val="00E75DC4"/>
    <w:rsid w:val="00E8136A"/>
    <w:rsid w:val="00E82574"/>
    <w:rsid w:val="00E83EFD"/>
    <w:rsid w:val="00E84EEC"/>
    <w:rsid w:val="00E92C8F"/>
    <w:rsid w:val="00E96931"/>
    <w:rsid w:val="00EA1191"/>
    <w:rsid w:val="00EA1320"/>
    <w:rsid w:val="00EA1B87"/>
    <w:rsid w:val="00EA63A4"/>
    <w:rsid w:val="00EB6DA4"/>
    <w:rsid w:val="00ED3D93"/>
    <w:rsid w:val="00ED7F0F"/>
    <w:rsid w:val="00EE0FA9"/>
    <w:rsid w:val="00EE658E"/>
    <w:rsid w:val="00EE73FA"/>
    <w:rsid w:val="00EE7B9A"/>
    <w:rsid w:val="00EF5B26"/>
    <w:rsid w:val="00F02D6C"/>
    <w:rsid w:val="00F0428A"/>
    <w:rsid w:val="00F104D8"/>
    <w:rsid w:val="00F14257"/>
    <w:rsid w:val="00F15690"/>
    <w:rsid w:val="00F226CA"/>
    <w:rsid w:val="00F22D7D"/>
    <w:rsid w:val="00F25779"/>
    <w:rsid w:val="00F2720E"/>
    <w:rsid w:val="00F60802"/>
    <w:rsid w:val="00F62359"/>
    <w:rsid w:val="00F65FC4"/>
    <w:rsid w:val="00F76268"/>
    <w:rsid w:val="00F7666C"/>
    <w:rsid w:val="00F91CF6"/>
    <w:rsid w:val="00F92F48"/>
    <w:rsid w:val="00F96495"/>
    <w:rsid w:val="00FA27BA"/>
    <w:rsid w:val="00FA5968"/>
    <w:rsid w:val="00FB3A6E"/>
    <w:rsid w:val="00FB469E"/>
    <w:rsid w:val="00FC08C6"/>
    <w:rsid w:val="00FC59DF"/>
    <w:rsid w:val="00FD23D2"/>
    <w:rsid w:val="00FE12B1"/>
    <w:rsid w:val="00FF07BF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  <w14:docId w14:val="6264B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  <w:style w:type="paragraph" w:styleId="NormalWeb">
    <w:name w:val="Normal (Web)"/>
    <w:basedOn w:val="Normal"/>
    <w:rsid w:val="00215A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ListNumber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pPr>
      <w:jc w:val="center"/>
    </w:pPr>
    <w:rPr>
      <w:rFonts w:ascii="Helvetica" w:hAnsi="Helvetica"/>
      <w:sz w:val="20"/>
    </w:rPr>
  </w:style>
  <w:style w:type="paragraph" w:styleId="FootnoteText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Heading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Number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after="0"/>
      <w:ind w:firstLine="3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BodyText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63E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81FFF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781FFF"/>
    <w:rPr>
      <w:rFonts w:ascii="Lucida Grande" w:hAnsi="Lucida Grande" w:cs="Lucida Grande"/>
      <w:sz w:val="18"/>
      <w:szCs w:val="18"/>
      <w:lang w:val="en-US"/>
    </w:rPr>
  </w:style>
  <w:style w:type="paragraph" w:styleId="EndnoteText">
    <w:name w:val="endnote text"/>
    <w:basedOn w:val="Normal"/>
    <w:link w:val="EndnoteTextChar"/>
    <w:rsid w:val="00D16910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D16910"/>
    <w:rPr>
      <w:sz w:val="24"/>
      <w:szCs w:val="24"/>
      <w:lang w:val="en-US"/>
    </w:rPr>
  </w:style>
  <w:style w:type="character" w:styleId="EndnoteReference">
    <w:name w:val="endnote reference"/>
    <w:basedOn w:val="DefaultParagraphFont"/>
    <w:rsid w:val="00D1691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E0A9E"/>
    <w:pPr>
      <w:ind w:left="720"/>
      <w:contextualSpacing/>
    </w:pPr>
  </w:style>
  <w:style w:type="table" w:styleId="TableGrid">
    <w:name w:val="Table Grid"/>
    <w:basedOn w:val="TableNormal"/>
    <w:rsid w:val="0098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E0FA9"/>
  </w:style>
  <w:style w:type="paragraph" w:styleId="NormalWeb">
    <w:name w:val="Normal (Web)"/>
    <w:basedOn w:val="Normal"/>
    <w:rsid w:val="00215A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0338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463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1092</Words>
  <Characters>6231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>ACM</Company>
  <LinksUpToDate>false</LinksUpToDate>
  <CharactersWithSpaces>7309</CharactersWithSpaces>
  <SharedDoc>false</SharedDoc>
  <HLinks>
    <vt:vector size="42" baseType="variant">
      <vt:variant>
        <vt:i4>3473518</vt:i4>
      </vt:variant>
      <vt:variant>
        <vt:i4>21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http://library.caltech.edu/reference/abbreviations/</vt:lpwstr>
      </vt:variant>
      <vt:variant>
        <vt:lpwstr/>
      </vt:variant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Edited by G. Murray on Aug. 23rd. 2007 for 'ACM Reference Format' / updated reference examples.</dc:description>
  <cp:lastModifiedBy>maria jose martinez de pison ramon</cp:lastModifiedBy>
  <cp:revision>3</cp:revision>
  <cp:lastPrinted>2007-08-23T12:33:00Z</cp:lastPrinted>
  <dcterms:created xsi:type="dcterms:W3CDTF">2012-12-15T10:02:00Z</dcterms:created>
  <dcterms:modified xsi:type="dcterms:W3CDTF">2012-12-15T10:06:00Z</dcterms:modified>
</cp:coreProperties>
</file>